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2045FD" w14:textId="77777777" w:rsidR="00806CE9" w:rsidRPr="00806CE9" w:rsidRDefault="00806CE9" w:rsidP="00806CE9">
      <w:pPr>
        <w:jc w:val="both"/>
        <w:rPr>
          <w:rFonts w:ascii="Arial" w:hAnsi="Arial" w:cs="Arial"/>
          <w:sz w:val="22"/>
          <w:szCs w:val="22"/>
        </w:rPr>
      </w:pPr>
    </w:p>
    <w:p w14:paraId="1829E9BB" w14:textId="4EC072E3" w:rsidR="00806CE9" w:rsidRPr="00806CE9" w:rsidRDefault="00806CE9" w:rsidP="00806CE9">
      <w:pPr>
        <w:jc w:val="both"/>
        <w:rPr>
          <w:rFonts w:ascii="Arial" w:hAnsi="Arial" w:cs="Arial"/>
          <w:sz w:val="22"/>
          <w:szCs w:val="22"/>
        </w:rPr>
      </w:pPr>
      <w:r w:rsidRPr="00806CE9">
        <w:rPr>
          <w:rFonts w:ascii="Arial" w:hAnsi="Arial" w:cs="Arial"/>
          <w:sz w:val="22"/>
          <w:szCs w:val="22"/>
        </w:rPr>
        <w:t>Date: August 3</w:t>
      </w:r>
      <w:r w:rsidR="00315481">
        <w:rPr>
          <w:rFonts w:ascii="Arial" w:hAnsi="Arial" w:cs="Arial"/>
          <w:sz w:val="22"/>
          <w:szCs w:val="22"/>
        </w:rPr>
        <w:t>1</w:t>
      </w:r>
      <w:r w:rsidRPr="00806CE9">
        <w:rPr>
          <w:rFonts w:ascii="Arial" w:hAnsi="Arial" w:cs="Arial"/>
          <w:sz w:val="22"/>
          <w:szCs w:val="22"/>
        </w:rPr>
        <w:t>, 2022</w:t>
      </w:r>
    </w:p>
    <w:p w14:paraId="1AF87737" w14:textId="77777777" w:rsidR="00806CE9" w:rsidRPr="00806CE9" w:rsidRDefault="00806CE9" w:rsidP="00806CE9">
      <w:pPr>
        <w:jc w:val="both"/>
        <w:rPr>
          <w:rFonts w:ascii="Arial" w:hAnsi="Arial" w:cs="Arial"/>
          <w:sz w:val="22"/>
          <w:szCs w:val="22"/>
        </w:rPr>
      </w:pPr>
    </w:p>
    <w:p w14:paraId="49022902" w14:textId="77777777" w:rsidR="00806CE9" w:rsidRPr="00806CE9" w:rsidRDefault="00806CE9" w:rsidP="00806CE9">
      <w:pPr>
        <w:rPr>
          <w:rFonts w:ascii="Arial" w:hAnsi="Arial" w:cs="Arial"/>
          <w:sz w:val="22"/>
          <w:szCs w:val="22"/>
        </w:rPr>
      </w:pPr>
      <w:r w:rsidRPr="00806CE9">
        <w:rPr>
          <w:rFonts w:ascii="Arial" w:hAnsi="Arial" w:cs="Arial"/>
          <w:sz w:val="22"/>
          <w:szCs w:val="22"/>
        </w:rPr>
        <w:t>Division of Issues and Listing</w:t>
      </w:r>
    </w:p>
    <w:p w14:paraId="72EC1C1F" w14:textId="77777777" w:rsidR="00806CE9" w:rsidRPr="00806CE9" w:rsidRDefault="00806CE9" w:rsidP="00806CE9">
      <w:pPr>
        <w:rPr>
          <w:rFonts w:ascii="Arial" w:hAnsi="Arial" w:cs="Arial"/>
          <w:sz w:val="22"/>
          <w:szCs w:val="22"/>
        </w:rPr>
      </w:pPr>
      <w:r w:rsidRPr="00806CE9">
        <w:rPr>
          <w:rFonts w:ascii="Arial" w:hAnsi="Arial" w:cs="Arial"/>
          <w:sz w:val="22"/>
          <w:szCs w:val="22"/>
        </w:rPr>
        <w:t xml:space="preserve">Securities and Exchange Board of India, </w:t>
      </w:r>
    </w:p>
    <w:p w14:paraId="66FFCEC4" w14:textId="77777777" w:rsidR="00806CE9" w:rsidRPr="00806CE9" w:rsidRDefault="00806CE9" w:rsidP="00806CE9">
      <w:pPr>
        <w:rPr>
          <w:rFonts w:ascii="Arial" w:hAnsi="Arial" w:cs="Arial"/>
          <w:sz w:val="22"/>
          <w:szCs w:val="22"/>
        </w:rPr>
      </w:pPr>
      <w:r w:rsidRPr="00806CE9">
        <w:rPr>
          <w:rFonts w:ascii="Arial" w:hAnsi="Arial" w:cs="Arial"/>
          <w:sz w:val="22"/>
          <w:szCs w:val="22"/>
        </w:rPr>
        <w:t>SEBI Bhavan BKC, Plot No.C4-A, 'G' Block</w:t>
      </w:r>
      <w:r w:rsidRPr="00806CE9">
        <w:rPr>
          <w:rFonts w:ascii="Arial" w:hAnsi="Arial" w:cs="Arial"/>
          <w:sz w:val="22"/>
          <w:szCs w:val="22"/>
        </w:rPr>
        <w:br/>
        <w:t>Bandra-Kurla Complex, Bandra (East),</w:t>
      </w:r>
      <w:r w:rsidRPr="00806CE9">
        <w:rPr>
          <w:rFonts w:ascii="Arial" w:hAnsi="Arial" w:cs="Arial"/>
          <w:sz w:val="22"/>
          <w:szCs w:val="22"/>
        </w:rPr>
        <w:br/>
        <w:t>Mumbai - 400 051</w:t>
      </w:r>
      <w:r w:rsidRPr="00806CE9">
        <w:rPr>
          <w:rFonts w:ascii="Arial" w:hAnsi="Arial" w:cs="Arial"/>
          <w:sz w:val="22"/>
          <w:szCs w:val="22"/>
        </w:rPr>
        <w:br/>
      </w:r>
    </w:p>
    <w:p w14:paraId="7EAC18A1" w14:textId="77777777" w:rsidR="00806CE9" w:rsidRPr="00806CE9" w:rsidRDefault="00806CE9" w:rsidP="00806CE9">
      <w:pPr>
        <w:jc w:val="both"/>
        <w:rPr>
          <w:rFonts w:ascii="Arial" w:hAnsi="Arial" w:cs="Arial"/>
          <w:bCs/>
          <w:sz w:val="22"/>
          <w:szCs w:val="22"/>
        </w:rPr>
      </w:pPr>
      <w:r w:rsidRPr="00806CE9">
        <w:rPr>
          <w:rFonts w:ascii="Arial" w:hAnsi="Arial" w:cs="Arial"/>
          <w:bCs/>
          <w:sz w:val="22"/>
          <w:szCs w:val="22"/>
        </w:rPr>
        <w:t>Sub: Application for condonation of delay in obtaining in-principal approval of the recognized stock exchange pursuant to Regulation 12(3) of SEBI (Share Based Employee Benefits and Sweat Equity) Regulations, 2021</w:t>
      </w:r>
    </w:p>
    <w:p w14:paraId="2B39DA1E" w14:textId="77777777" w:rsidR="00806CE9" w:rsidRPr="00806CE9" w:rsidRDefault="00806CE9" w:rsidP="00806CE9">
      <w:pPr>
        <w:jc w:val="both"/>
        <w:rPr>
          <w:rFonts w:ascii="Arial" w:hAnsi="Arial" w:cs="Arial"/>
          <w:b/>
          <w:sz w:val="22"/>
          <w:szCs w:val="22"/>
        </w:rPr>
      </w:pPr>
    </w:p>
    <w:p w14:paraId="65716DAA" w14:textId="77777777" w:rsidR="00806CE9" w:rsidRPr="00806CE9" w:rsidRDefault="00806CE9" w:rsidP="00806CE9">
      <w:pPr>
        <w:jc w:val="both"/>
        <w:rPr>
          <w:rFonts w:ascii="Arial" w:hAnsi="Arial" w:cs="Arial"/>
          <w:sz w:val="22"/>
          <w:szCs w:val="22"/>
        </w:rPr>
      </w:pPr>
      <w:r w:rsidRPr="00806CE9">
        <w:rPr>
          <w:rFonts w:ascii="Arial" w:hAnsi="Arial" w:cs="Arial"/>
          <w:sz w:val="22"/>
          <w:szCs w:val="22"/>
        </w:rPr>
        <w:t xml:space="preserve">Dear Sir / Madam, </w:t>
      </w:r>
    </w:p>
    <w:p w14:paraId="4B88F883" w14:textId="77777777" w:rsidR="00806CE9" w:rsidRPr="00806CE9" w:rsidRDefault="00806CE9" w:rsidP="00806CE9">
      <w:pPr>
        <w:jc w:val="both"/>
        <w:rPr>
          <w:rFonts w:ascii="Arial" w:hAnsi="Arial" w:cs="Arial"/>
          <w:sz w:val="22"/>
          <w:szCs w:val="22"/>
        </w:rPr>
      </w:pPr>
    </w:p>
    <w:p w14:paraId="60B286B0" w14:textId="77777777" w:rsidR="00806CE9" w:rsidRPr="00806CE9" w:rsidRDefault="00806CE9" w:rsidP="00806CE9">
      <w:pPr>
        <w:jc w:val="both"/>
        <w:rPr>
          <w:rFonts w:ascii="Arial" w:hAnsi="Arial" w:cs="Arial"/>
          <w:sz w:val="22"/>
          <w:szCs w:val="22"/>
        </w:rPr>
      </w:pPr>
      <w:r w:rsidRPr="00806CE9">
        <w:rPr>
          <w:rFonts w:ascii="Arial" w:hAnsi="Arial" w:cs="Arial"/>
          <w:sz w:val="22"/>
          <w:szCs w:val="22"/>
        </w:rPr>
        <w:t>This is with reference to the above subject matter, Transcorp International Limited (the “</w:t>
      </w:r>
      <w:r w:rsidRPr="00806CE9">
        <w:rPr>
          <w:rFonts w:ascii="Arial" w:hAnsi="Arial" w:cs="Arial"/>
          <w:b/>
          <w:bCs/>
          <w:sz w:val="22"/>
          <w:szCs w:val="22"/>
        </w:rPr>
        <w:t>Company</w:t>
      </w:r>
      <w:r w:rsidRPr="00806CE9">
        <w:rPr>
          <w:rFonts w:ascii="Arial" w:hAnsi="Arial" w:cs="Arial"/>
          <w:sz w:val="22"/>
          <w:szCs w:val="22"/>
        </w:rPr>
        <w:t>”) is making this application with a request to grant approval to make allotment of shares in respect of options granted to the eligible employees under Employee Stock Option Plan 2017 (</w:t>
      </w:r>
      <w:r w:rsidRPr="00806CE9">
        <w:rPr>
          <w:rFonts w:ascii="Arial" w:hAnsi="Arial" w:cs="Arial"/>
          <w:bCs/>
          <w:sz w:val="22"/>
          <w:szCs w:val="22"/>
        </w:rPr>
        <w:t>the “</w:t>
      </w:r>
      <w:r w:rsidRPr="00806CE9">
        <w:rPr>
          <w:rFonts w:ascii="Arial" w:hAnsi="Arial" w:cs="Arial"/>
          <w:b/>
          <w:sz w:val="22"/>
          <w:szCs w:val="22"/>
        </w:rPr>
        <w:t>Scheme</w:t>
      </w:r>
      <w:r w:rsidRPr="00806CE9">
        <w:rPr>
          <w:rFonts w:ascii="Arial" w:hAnsi="Arial" w:cs="Arial"/>
          <w:bCs/>
          <w:sz w:val="22"/>
          <w:szCs w:val="22"/>
        </w:rPr>
        <w:t>”)</w:t>
      </w:r>
      <w:r w:rsidRPr="00806CE9">
        <w:rPr>
          <w:rFonts w:ascii="Arial" w:hAnsi="Arial" w:cs="Arial"/>
          <w:sz w:val="22"/>
          <w:szCs w:val="22"/>
        </w:rPr>
        <w:t xml:space="preserve">. </w:t>
      </w:r>
    </w:p>
    <w:p w14:paraId="3BE60A9E" w14:textId="77777777" w:rsidR="00806CE9" w:rsidRPr="00806CE9" w:rsidRDefault="00806CE9" w:rsidP="00806CE9">
      <w:pPr>
        <w:jc w:val="both"/>
        <w:rPr>
          <w:rFonts w:ascii="Arial" w:hAnsi="Arial" w:cs="Arial"/>
          <w:sz w:val="22"/>
          <w:szCs w:val="22"/>
        </w:rPr>
      </w:pPr>
    </w:p>
    <w:p w14:paraId="033232D5" w14:textId="77777777" w:rsidR="00806CE9" w:rsidRPr="00806CE9" w:rsidRDefault="00806CE9" w:rsidP="00806CE9">
      <w:pPr>
        <w:jc w:val="both"/>
        <w:rPr>
          <w:rFonts w:ascii="Arial" w:hAnsi="Arial" w:cs="Arial"/>
          <w:sz w:val="22"/>
          <w:szCs w:val="22"/>
        </w:rPr>
      </w:pPr>
      <w:r w:rsidRPr="00806CE9">
        <w:rPr>
          <w:rFonts w:ascii="Arial" w:hAnsi="Arial" w:cs="Arial"/>
          <w:sz w:val="22"/>
          <w:szCs w:val="22"/>
        </w:rPr>
        <w:t>The facts in brief are as follows: -</w:t>
      </w:r>
    </w:p>
    <w:p w14:paraId="37D4CA47" w14:textId="77777777" w:rsidR="00806CE9" w:rsidRPr="00806CE9" w:rsidRDefault="00806CE9" w:rsidP="00806CE9">
      <w:pPr>
        <w:jc w:val="both"/>
        <w:rPr>
          <w:rFonts w:ascii="Arial" w:hAnsi="Arial" w:cs="Arial"/>
          <w:sz w:val="22"/>
          <w:szCs w:val="22"/>
        </w:rPr>
      </w:pPr>
    </w:p>
    <w:p w14:paraId="7960E8C6" w14:textId="77777777" w:rsidR="00806CE9" w:rsidRPr="00806CE9" w:rsidRDefault="00806CE9" w:rsidP="00806CE9">
      <w:pPr>
        <w:pStyle w:val="ListParagraph"/>
        <w:numPr>
          <w:ilvl w:val="0"/>
          <w:numId w:val="14"/>
        </w:numPr>
        <w:suppressAutoHyphens w:val="0"/>
        <w:contextualSpacing/>
        <w:jc w:val="both"/>
        <w:rPr>
          <w:rFonts w:ascii="Arial" w:hAnsi="Arial" w:cs="Arial"/>
          <w:b/>
          <w:sz w:val="22"/>
          <w:szCs w:val="22"/>
          <w:u w:val="single"/>
        </w:rPr>
      </w:pPr>
      <w:r w:rsidRPr="00806CE9">
        <w:rPr>
          <w:rFonts w:ascii="Arial" w:hAnsi="Arial" w:cs="Arial"/>
          <w:b/>
          <w:sz w:val="22"/>
          <w:szCs w:val="22"/>
          <w:u w:val="single"/>
        </w:rPr>
        <w:t>Brief background</w:t>
      </w:r>
    </w:p>
    <w:p w14:paraId="15CEE2C0" w14:textId="77777777" w:rsidR="00806CE9" w:rsidRPr="00806CE9" w:rsidRDefault="00806CE9" w:rsidP="00806CE9">
      <w:pPr>
        <w:pStyle w:val="ListParagraph"/>
        <w:jc w:val="both"/>
        <w:rPr>
          <w:rFonts w:ascii="Arial" w:hAnsi="Arial" w:cs="Arial"/>
          <w:sz w:val="22"/>
          <w:szCs w:val="22"/>
        </w:rPr>
      </w:pPr>
    </w:p>
    <w:p w14:paraId="3CDDAC1A" w14:textId="77777777" w:rsidR="00806CE9" w:rsidRPr="00806CE9" w:rsidRDefault="00806CE9" w:rsidP="00806CE9">
      <w:pPr>
        <w:pStyle w:val="ListParagraph"/>
        <w:numPr>
          <w:ilvl w:val="0"/>
          <w:numId w:val="15"/>
        </w:numPr>
        <w:suppressAutoHyphens w:val="0"/>
        <w:autoSpaceDE w:val="0"/>
        <w:autoSpaceDN w:val="0"/>
        <w:adjustRightInd w:val="0"/>
        <w:contextualSpacing/>
        <w:jc w:val="both"/>
        <w:rPr>
          <w:rFonts w:ascii="Arial" w:hAnsi="Arial" w:cs="Arial"/>
          <w:sz w:val="22"/>
          <w:szCs w:val="22"/>
        </w:rPr>
      </w:pPr>
      <w:r w:rsidRPr="00806CE9">
        <w:rPr>
          <w:rFonts w:ascii="Arial" w:hAnsi="Arial" w:cs="Arial"/>
          <w:sz w:val="22"/>
          <w:szCs w:val="22"/>
        </w:rPr>
        <w:t>The “Company” having its registered office at Plot No. 3, HAF Pocket, Sector 18A, Near Veer Awas, Dwarka, Phase-II, New Delhi - 110075 was incorporated under the Companies Act, 1956 on December 20, 1994. The Corporate Identification Number (‘CIN’) of the Company is L51909DL1994PLC235697. The company is engaged in the business of (</w:t>
      </w:r>
      <w:proofErr w:type="spellStart"/>
      <w:r w:rsidRPr="00806CE9">
        <w:rPr>
          <w:rFonts w:ascii="Arial" w:hAnsi="Arial" w:cs="Arial"/>
          <w:sz w:val="22"/>
          <w:szCs w:val="22"/>
        </w:rPr>
        <w:t>i</w:t>
      </w:r>
      <w:proofErr w:type="spellEnd"/>
      <w:r w:rsidRPr="00806CE9">
        <w:rPr>
          <w:rFonts w:ascii="Arial" w:hAnsi="Arial" w:cs="Arial"/>
          <w:sz w:val="22"/>
          <w:szCs w:val="22"/>
        </w:rPr>
        <w:t>) buying and selling of foreign exchange, money changing and various permissible outward remittance activities as Authorised Dealer Category II licensed by Reserve Bank of India, (ii) issuing and operating payment system for pre-paid payment instruments in India under Prepaid Payment Instruments (“PPI”) license granted to it by Reserve Bank of India, (iii) Financial Inclusion services as National Business Correspondent of State Bank of India and providing services such as Domestic Money Transfer, cash withdrawal and deposition, opening of non-frill accounts, participating in various Govt. incentive and benefit schemes etc.</w:t>
      </w:r>
    </w:p>
    <w:p w14:paraId="1F203ECF" w14:textId="77777777" w:rsidR="00806CE9" w:rsidRPr="00806CE9" w:rsidRDefault="00806CE9" w:rsidP="00806CE9">
      <w:pPr>
        <w:autoSpaceDE w:val="0"/>
        <w:autoSpaceDN w:val="0"/>
        <w:adjustRightInd w:val="0"/>
        <w:ind w:left="709"/>
        <w:jc w:val="both"/>
        <w:rPr>
          <w:rFonts w:ascii="Arial" w:hAnsi="Arial" w:cs="Arial"/>
          <w:sz w:val="22"/>
          <w:szCs w:val="22"/>
        </w:rPr>
      </w:pPr>
    </w:p>
    <w:p w14:paraId="33164B1D" w14:textId="77777777" w:rsidR="00806CE9" w:rsidRPr="00806CE9" w:rsidRDefault="00806CE9" w:rsidP="00806CE9">
      <w:pPr>
        <w:pStyle w:val="ListParagraph"/>
        <w:numPr>
          <w:ilvl w:val="0"/>
          <w:numId w:val="15"/>
        </w:numPr>
        <w:suppressAutoHyphens w:val="0"/>
        <w:autoSpaceDE w:val="0"/>
        <w:autoSpaceDN w:val="0"/>
        <w:adjustRightInd w:val="0"/>
        <w:contextualSpacing/>
        <w:jc w:val="both"/>
        <w:rPr>
          <w:rFonts w:ascii="Arial" w:hAnsi="Arial" w:cs="Arial"/>
          <w:sz w:val="22"/>
          <w:szCs w:val="22"/>
        </w:rPr>
      </w:pPr>
      <w:r w:rsidRPr="00806CE9">
        <w:rPr>
          <w:rFonts w:ascii="Arial" w:hAnsi="Arial" w:cs="Arial"/>
          <w:sz w:val="22"/>
          <w:szCs w:val="22"/>
        </w:rPr>
        <w:t>The Authorised Share Capital of the Company is Rs. 10,00,00,000 (Rupees Ten Crore) divided into 5,00,00,000 (Five Crore) Equity Shares of Re. 2 (Rupee Two only) each. The Paid-up Share capital of the Company is Rs. 6,35,65,488 (Rupees Six Crore Thirty-Five Lakh Sixty-Five Thousand Four Hundred Eighty-Eight only) divided into 3,17,82,744 (Three Crore Seventeen Lakh Eighty-Two Thousand Seven Hundred and Forty-Four) Equity Shares of Re. 2 (Rupee Two) each.</w:t>
      </w:r>
    </w:p>
    <w:p w14:paraId="794C6F0C" w14:textId="77777777" w:rsidR="00806CE9" w:rsidRPr="00806CE9" w:rsidRDefault="00806CE9" w:rsidP="00806CE9">
      <w:pPr>
        <w:pStyle w:val="ListParagraph"/>
        <w:jc w:val="both"/>
        <w:rPr>
          <w:rFonts w:ascii="Arial" w:hAnsi="Arial" w:cs="Arial"/>
          <w:sz w:val="22"/>
          <w:szCs w:val="22"/>
        </w:rPr>
      </w:pPr>
      <w:r w:rsidRPr="00806CE9">
        <w:rPr>
          <w:rFonts w:ascii="Arial" w:hAnsi="Arial" w:cs="Arial"/>
          <w:sz w:val="22"/>
          <w:szCs w:val="22"/>
        </w:rPr>
        <w:t xml:space="preserve"> </w:t>
      </w:r>
    </w:p>
    <w:p w14:paraId="044D258F" w14:textId="77777777" w:rsidR="00806CE9" w:rsidRPr="00806CE9" w:rsidRDefault="00806CE9" w:rsidP="00806CE9">
      <w:pPr>
        <w:pStyle w:val="ListParagraph"/>
        <w:numPr>
          <w:ilvl w:val="0"/>
          <w:numId w:val="15"/>
        </w:numPr>
        <w:suppressAutoHyphens w:val="0"/>
        <w:autoSpaceDE w:val="0"/>
        <w:autoSpaceDN w:val="0"/>
        <w:adjustRightInd w:val="0"/>
        <w:contextualSpacing/>
        <w:jc w:val="both"/>
        <w:rPr>
          <w:rFonts w:ascii="Arial" w:hAnsi="Arial" w:cs="Arial"/>
          <w:sz w:val="22"/>
          <w:szCs w:val="22"/>
        </w:rPr>
      </w:pPr>
      <w:r w:rsidRPr="00806CE9">
        <w:rPr>
          <w:rFonts w:ascii="Arial" w:hAnsi="Arial" w:cs="Arial"/>
          <w:sz w:val="22"/>
          <w:szCs w:val="22"/>
        </w:rPr>
        <w:t>The equity shares of the Company are listed on BSE Limited (Script Code 532410).</w:t>
      </w:r>
    </w:p>
    <w:p w14:paraId="1EA69EB7" w14:textId="6D23C853" w:rsidR="00806CE9" w:rsidRDefault="00806CE9" w:rsidP="00806CE9">
      <w:pPr>
        <w:autoSpaceDE w:val="0"/>
        <w:autoSpaceDN w:val="0"/>
        <w:adjustRightInd w:val="0"/>
        <w:jc w:val="both"/>
        <w:rPr>
          <w:rFonts w:ascii="Arial" w:hAnsi="Arial" w:cs="Arial"/>
          <w:sz w:val="22"/>
          <w:szCs w:val="22"/>
        </w:rPr>
      </w:pPr>
    </w:p>
    <w:p w14:paraId="10C90134" w14:textId="0A3FF4D8" w:rsidR="00806CE9" w:rsidRDefault="00806CE9" w:rsidP="00806CE9">
      <w:pPr>
        <w:autoSpaceDE w:val="0"/>
        <w:autoSpaceDN w:val="0"/>
        <w:adjustRightInd w:val="0"/>
        <w:jc w:val="both"/>
        <w:rPr>
          <w:rFonts w:ascii="Arial" w:hAnsi="Arial" w:cs="Arial"/>
          <w:sz w:val="22"/>
          <w:szCs w:val="22"/>
        </w:rPr>
      </w:pPr>
    </w:p>
    <w:p w14:paraId="52A0CAD9" w14:textId="7D92D280" w:rsidR="00806CE9" w:rsidRDefault="00806CE9" w:rsidP="00806CE9">
      <w:pPr>
        <w:autoSpaceDE w:val="0"/>
        <w:autoSpaceDN w:val="0"/>
        <w:adjustRightInd w:val="0"/>
        <w:jc w:val="both"/>
        <w:rPr>
          <w:rFonts w:ascii="Arial" w:hAnsi="Arial" w:cs="Arial"/>
          <w:sz w:val="22"/>
          <w:szCs w:val="22"/>
        </w:rPr>
      </w:pPr>
    </w:p>
    <w:p w14:paraId="04A27961" w14:textId="681741E5" w:rsidR="00806CE9" w:rsidRDefault="00806CE9" w:rsidP="00806CE9">
      <w:pPr>
        <w:autoSpaceDE w:val="0"/>
        <w:autoSpaceDN w:val="0"/>
        <w:adjustRightInd w:val="0"/>
        <w:jc w:val="both"/>
        <w:rPr>
          <w:rFonts w:ascii="Arial" w:hAnsi="Arial" w:cs="Arial"/>
          <w:sz w:val="22"/>
          <w:szCs w:val="22"/>
        </w:rPr>
      </w:pPr>
    </w:p>
    <w:p w14:paraId="5F47EF37" w14:textId="65B108F0" w:rsidR="00806CE9" w:rsidRDefault="00806CE9" w:rsidP="00806CE9">
      <w:pPr>
        <w:autoSpaceDE w:val="0"/>
        <w:autoSpaceDN w:val="0"/>
        <w:adjustRightInd w:val="0"/>
        <w:jc w:val="both"/>
        <w:rPr>
          <w:rFonts w:ascii="Arial" w:hAnsi="Arial" w:cs="Arial"/>
          <w:sz w:val="22"/>
          <w:szCs w:val="22"/>
        </w:rPr>
      </w:pPr>
    </w:p>
    <w:p w14:paraId="53B0D7F9" w14:textId="77777777" w:rsidR="00806CE9" w:rsidRPr="00806CE9" w:rsidRDefault="00806CE9" w:rsidP="00806CE9">
      <w:pPr>
        <w:autoSpaceDE w:val="0"/>
        <w:autoSpaceDN w:val="0"/>
        <w:adjustRightInd w:val="0"/>
        <w:jc w:val="both"/>
        <w:rPr>
          <w:rFonts w:ascii="Arial" w:hAnsi="Arial" w:cs="Arial"/>
          <w:sz w:val="22"/>
          <w:szCs w:val="22"/>
        </w:rPr>
      </w:pPr>
    </w:p>
    <w:p w14:paraId="79239C0F" w14:textId="77777777" w:rsidR="00806CE9" w:rsidRPr="00806CE9" w:rsidRDefault="00806CE9" w:rsidP="00806CE9">
      <w:pPr>
        <w:pStyle w:val="ListParagraph"/>
        <w:numPr>
          <w:ilvl w:val="0"/>
          <w:numId w:val="15"/>
        </w:numPr>
        <w:suppressAutoHyphens w:val="0"/>
        <w:autoSpaceDE w:val="0"/>
        <w:autoSpaceDN w:val="0"/>
        <w:adjustRightInd w:val="0"/>
        <w:contextualSpacing/>
        <w:jc w:val="both"/>
        <w:rPr>
          <w:rFonts w:ascii="Arial" w:hAnsi="Arial" w:cs="Arial"/>
          <w:sz w:val="22"/>
          <w:szCs w:val="22"/>
        </w:rPr>
      </w:pPr>
      <w:r w:rsidRPr="00806CE9">
        <w:rPr>
          <w:rFonts w:ascii="Arial" w:hAnsi="Arial" w:cs="Arial"/>
          <w:sz w:val="22"/>
          <w:szCs w:val="22"/>
        </w:rPr>
        <w:t>The shareholding pattern in brief as on June 30, 2022 is as follows: -</w:t>
      </w:r>
    </w:p>
    <w:p w14:paraId="6626D386" w14:textId="77777777" w:rsidR="00806CE9" w:rsidRPr="00806CE9" w:rsidRDefault="00806CE9" w:rsidP="00806CE9">
      <w:pPr>
        <w:pStyle w:val="ListParagraph"/>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835"/>
        <w:gridCol w:w="3507"/>
        <w:gridCol w:w="1543"/>
        <w:gridCol w:w="2045"/>
      </w:tblGrid>
      <w:tr w:rsidR="00806CE9" w:rsidRPr="00806CE9" w14:paraId="0CF5721C" w14:textId="77777777" w:rsidTr="00315481">
        <w:trPr>
          <w:jc w:val="center"/>
        </w:trPr>
        <w:tc>
          <w:tcPr>
            <w:tcW w:w="835" w:type="dxa"/>
          </w:tcPr>
          <w:p w14:paraId="7A8DA10E" w14:textId="77777777" w:rsidR="00806CE9" w:rsidRPr="00806CE9" w:rsidRDefault="00806CE9" w:rsidP="0053022B">
            <w:pPr>
              <w:pStyle w:val="ListParagraph"/>
              <w:ind w:left="0"/>
              <w:jc w:val="center"/>
              <w:rPr>
                <w:rFonts w:ascii="Arial" w:hAnsi="Arial" w:cs="Arial"/>
                <w:b/>
                <w:lang w:val="en-US"/>
              </w:rPr>
            </w:pPr>
            <w:r w:rsidRPr="00806CE9">
              <w:rPr>
                <w:rFonts w:ascii="Arial" w:hAnsi="Arial" w:cs="Arial"/>
                <w:b/>
                <w:lang w:val="en-US"/>
              </w:rPr>
              <w:t>Sr.</w:t>
            </w:r>
          </w:p>
        </w:tc>
        <w:tc>
          <w:tcPr>
            <w:tcW w:w="3507" w:type="dxa"/>
          </w:tcPr>
          <w:p w14:paraId="26688D13" w14:textId="77777777" w:rsidR="00806CE9" w:rsidRPr="00806CE9" w:rsidRDefault="00806CE9" w:rsidP="0053022B">
            <w:pPr>
              <w:pStyle w:val="ListParagraph"/>
              <w:ind w:left="0"/>
              <w:jc w:val="center"/>
              <w:rPr>
                <w:rFonts w:ascii="Arial" w:hAnsi="Arial" w:cs="Arial"/>
                <w:b/>
                <w:lang w:val="en-US"/>
              </w:rPr>
            </w:pPr>
            <w:r w:rsidRPr="00806CE9">
              <w:rPr>
                <w:rFonts w:ascii="Arial" w:hAnsi="Arial" w:cs="Arial"/>
                <w:b/>
                <w:lang w:val="en-US"/>
              </w:rPr>
              <w:t>Category</w:t>
            </w:r>
          </w:p>
        </w:tc>
        <w:tc>
          <w:tcPr>
            <w:tcW w:w="1543" w:type="dxa"/>
          </w:tcPr>
          <w:p w14:paraId="13F8D677" w14:textId="77777777" w:rsidR="00806CE9" w:rsidRPr="00806CE9" w:rsidRDefault="00806CE9" w:rsidP="0053022B">
            <w:pPr>
              <w:pStyle w:val="ListParagraph"/>
              <w:ind w:left="0"/>
              <w:jc w:val="center"/>
              <w:rPr>
                <w:rFonts w:ascii="Arial" w:hAnsi="Arial" w:cs="Arial"/>
                <w:b/>
                <w:lang w:val="en-US"/>
              </w:rPr>
            </w:pPr>
            <w:r w:rsidRPr="00806CE9">
              <w:rPr>
                <w:rFonts w:ascii="Arial" w:hAnsi="Arial" w:cs="Arial"/>
                <w:b/>
                <w:lang w:val="en-US"/>
              </w:rPr>
              <w:t>No. of Shares</w:t>
            </w:r>
          </w:p>
        </w:tc>
        <w:tc>
          <w:tcPr>
            <w:tcW w:w="2045" w:type="dxa"/>
          </w:tcPr>
          <w:p w14:paraId="4C484E6C" w14:textId="77777777" w:rsidR="00806CE9" w:rsidRPr="00806CE9" w:rsidRDefault="00806CE9" w:rsidP="0053022B">
            <w:pPr>
              <w:pStyle w:val="ListParagraph"/>
              <w:ind w:left="0"/>
              <w:jc w:val="center"/>
              <w:rPr>
                <w:rFonts w:ascii="Arial" w:hAnsi="Arial" w:cs="Arial"/>
                <w:b/>
                <w:lang w:val="en-US"/>
              </w:rPr>
            </w:pPr>
            <w:r w:rsidRPr="00806CE9">
              <w:rPr>
                <w:rFonts w:ascii="Arial" w:hAnsi="Arial" w:cs="Arial"/>
                <w:b/>
                <w:lang w:val="en-US"/>
              </w:rPr>
              <w:t>% Age shareholding</w:t>
            </w:r>
          </w:p>
        </w:tc>
      </w:tr>
      <w:tr w:rsidR="00806CE9" w:rsidRPr="00806CE9" w14:paraId="55B74FD4" w14:textId="77777777" w:rsidTr="00315481">
        <w:trPr>
          <w:jc w:val="center"/>
        </w:trPr>
        <w:tc>
          <w:tcPr>
            <w:tcW w:w="835" w:type="dxa"/>
          </w:tcPr>
          <w:p w14:paraId="3F274CBA" w14:textId="77777777" w:rsidR="00806CE9" w:rsidRPr="00806CE9" w:rsidRDefault="00806CE9" w:rsidP="0053022B">
            <w:pPr>
              <w:pStyle w:val="ListParagraph"/>
              <w:ind w:left="0"/>
              <w:jc w:val="center"/>
              <w:rPr>
                <w:rFonts w:ascii="Arial" w:hAnsi="Arial" w:cs="Arial"/>
                <w:lang w:val="en-US"/>
              </w:rPr>
            </w:pPr>
            <w:r w:rsidRPr="00806CE9">
              <w:rPr>
                <w:rFonts w:ascii="Arial" w:hAnsi="Arial" w:cs="Arial"/>
                <w:lang w:val="en-US"/>
              </w:rPr>
              <w:t>1</w:t>
            </w:r>
          </w:p>
        </w:tc>
        <w:tc>
          <w:tcPr>
            <w:tcW w:w="3507" w:type="dxa"/>
          </w:tcPr>
          <w:p w14:paraId="61B74A05" w14:textId="77777777" w:rsidR="00806CE9" w:rsidRPr="00806CE9" w:rsidRDefault="00806CE9" w:rsidP="0053022B">
            <w:pPr>
              <w:pStyle w:val="ListParagraph"/>
              <w:ind w:left="0"/>
              <w:jc w:val="both"/>
              <w:rPr>
                <w:rFonts w:ascii="Arial" w:hAnsi="Arial" w:cs="Arial"/>
                <w:lang w:val="en-US"/>
              </w:rPr>
            </w:pPr>
            <w:r w:rsidRPr="00806CE9">
              <w:rPr>
                <w:rFonts w:ascii="Arial" w:hAnsi="Arial" w:cs="Arial"/>
                <w:lang w:val="en-US"/>
              </w:rPr>
              <w:t>Promoter and Promoter Group</w:t>
            </w:r>
          </w:p>
        </w:tc>
        <w:tc>
          <w:tcPr>
            <w:tcW w:w="1543" w:type="dxa"/>
          </w:tcPr>
          <w:p w14:paraId="4F9F8279" w14:textId="77777777" w:rsidR="00806CE9" w:rsidRPr="00806CE9" w:rsidRDefault="00806CE9" w:rsidP="0053022B">
            <w:pPr>
              <w:pStyle w:val="ListParagraph"/>
              <w:ind w:left="0"/>
              <w:jc w:val="center"/>
              <w:rPr>
                <w:rFonts w:ascii="Arial" w:hAnsi="Arial" w:cs="Arial"/>
                <w:lang w:val="en-US"/>
              </w:rPr>
            </w:pPr>
            <w:r w:rsidRPr="00806CE9">
              <w:rPr>
                <w:rFonts w:ascii="Arial" w:hAnsi="Arial" w:cs="Arial"/>
                <w:lang w:val="en-US"/>
              </w:rPr>
              <w:t>2,32,71,004</w:t>
            </w:r>
          </w:p>
        </w:tc>
        <w:tc>
          <w:tcPr>
            <w:tcW w:w="2045" w:type="dxa"/>
          </w:tcPr>
          <w:p w14:paraId="355D41EF" w14:textId="77777777" w:rsidR="00806CE9" w:rsidRPr="00806CE9" w:rsidRDefault="00806CE9" w:rsidP="0053022B">
            <w:pPr>
              <w:pStyle w:val="ListParagraph"/>
              <w:ind w:left="0"/>
              <w:jc w:val="center"/>
              <w:rPr>
                <w:rFonts w:ascii="Arial" w:hAnsi="Arial" w:cs="Arial"/>
                <w:lang w:val="en-US"/>
              </w:rPr>
            </w:pPr>
            <w:r w:rsidRPr="00806CE9">
              <w:rPr>
                <w:rFonts w:ascii="Arial" w:hAnsi="Arial" w:cs="Arial"/>
                <w:lang w:val="en-US"/>
              </w:rPr>
              <w:t>73.22</w:t>
            </w:r>
          </w:p>
        </w:tc>
      </w:tr>
      <w:tr w:rsidR="00806CE9" w:rsidRPr="00806CE9" w14:paraId="604D75F8" w14:textId="77777777" w:rsidTr="00315481">
        <w:trPr>
          <w:jc w:val="center"/>
        </w:trPr>
        <w:tc>
          <w:tcPr>
            <w:tcW w:w="835" w:type="dxa"/>
          </w:tcPr>
          <w:p w14:paraId="747E6855" w14:textId="77777777" w:rsidR="00806CE9" w:rsidRPr="00806CE9" w:rsidRDefault="00806CE9" w:rsidP="0053022B">
            <w:pPr>
              <w:pStyle w:val="ListParagraph"/>
              <w:ind w:left="0"/>
              <w:jc w:val="center"/>
              <w:rPr>
                <w:rFonts w:ascii="Arial" w:hAnsi="Arial" w:cs="Arial"/>
                <w:lang w:val="en-US"/>
              </w:rPr>
            </w:pPr>
            <w:r w:rsidRPr="00806CE9">
              <w:rPr>
                <w:rFonts w:ascii="Arial" w:hAnsi="Arial" w:cs="Arial"/>
                <w:lang w:val="en-US"/>
              </w:rPr>
              <w:t>2</w:t>
            </w:r>
          </w:p>
        </w:tc>
        <w:tc>
          <w:tcPr>
            <w:tcW w:w="3507" w:type="dxa"/>
          </w:tcPr>
          <w:p w14:paraId="3075696F" w14:textId="77777777" w:rsidR="00806CE9" w:rsidRPr="00806CE9" w:rsidRDefault="00806CE9" w:rsidP="0053022B">
            <w:pPr>
              <w:pStyle w:val="ListParagraph"/>
              <w:ind w:left="0"/>
              <w:jc w:val="both"/>
              <w:rPr>
                <w:rFonts w:ascii="Arial" w:hAnsi="Arial" w:cs="Arial"/>
                <w:lang w:val="en-US"/>
              </w:rPr>
            </w:pPr>
            <w:r w:rsidRPr="00806CE9">
              <w:rPr>
                <w:rFonts w:ascii="Arial" w:hAnsi="Arial" w:cs="Arial"/>
                <w:lang w:val="en-US"/>
              </w:rPr>
              <w:t>Public</w:t>
            </w:r>
          </w:p>
        </w:tc>
        <w:tc>
          <w:tcPr>
            <w:tcW w:w="1543" w:type="dxa"/>
          </w:tcPr>
          <w:p w14:paraId="235A982D" w14:textId="77777777" w:rsidR="00806CE9" w:rsidRPr="00806CE9" w:rsidRDefault="00806CE9" w:rsidP="0053022B">
            <w:pPr>
              <w:pStyle w:val="ListParagraph"/>
              <w:ind w:left="0"/>
              <w:jc w:val="center"/>
              <w:rPr>
                <w:rFonts w:ascii="Arial" w:hAnsi="Arial" w:cs="Arial"/>
                <w:lang w:val="en-US"/>
              </w:rPr>
            </w:pPr>
            <w:r w:rsidRPr="00806CE9">
              <w:rPr>
                <w:rFonts w:ascii="Arial" w:hAnsi="Arial" w:cs="Arial"/>
                <w:lang w:val="en-US"/>
              </w:rPr>
              <w:t>85,11,740</w:t>
            </w:r>
          </w:p>
        </w:tc>
        <w:tc>
          <w:tcPr>
            <w:tcW w:w="2045" w:type="dxa"/>
          </w:tcPr>
          <w:p w14:paraId="658CA972" w14:textId="77777777" w:rsidR="00806CE9" w:rsidRPr="00806CE9" w:rsidRDefault="00806CE9" w:rsidP="0053022B">
            <w:pPr>
              <w:pStyle w:val="ListParagraph"/>
              <w:ind w:left="0"/>
              <w:jc w:val="center"/>
              <w:rPr>
                <w:rFonts w:ascii="Arial" w:hAnsi="Arial" w:cs="Arial"/>
                <w:lang w:val="en-US"/>
              </w:rPr>
            </w:pPr>
            <w:r w:rsidRPr="00806CE9">
              <w:rPr>
                <w:rFonts w:ascii="Arial" w:hAnsi="Arial" w:cs="Arial"/>
                <w:lang w:val="en-US"/>
              </w:rPr>
              <w:t>26.78</w:t>
            </w:r>
          </w:p>
        </w:tc>
      </w:tr>
      <w:tr w:rsidR="00806CE9" w:rsidRPr="00806CE9" w14:paraId="57C26415" w14:textId="77777777" w:rsidTr="00315481">
        <w:trPr>
          <w:jc w:val="center"/>
        </w:trPr>
        <w:tc>
          <w:tcPr>
            <w:tcW w:w="835" w:type="dxa"/>
          </w:tcPr>
          <w:p w14:paraId="16B39917" w14:textId="77777777" w:rsidR="00806CE9" w:rsidRPr="00806CE9" w:rsidRDefault="00806CE9" w:rsidP="0053022B">
            <w:pPr>
              <w:pStyle w:val="ListParagraph"/>
              <w:ind w:left="0"/>
              <w:jc w:val="center"/>
              <w:rPr>
                <w:rFonts w:ascii="Arial" w:hAnsi="Arial" w:cs="Arial"/>
                <w:lang w:val="en-US"/>
              </w:rPr>
            </w:pPr>
          </w:p>
        </w:tc>
        <w:tc>
          <w:tcPr>
            <w:tcW w:w="3507" w:type="dxa"/>
          </w:tcPr>
          <w:p w14:paraId="0304D3B6" w14:textId="77777777" w:rsidR="00806CE9" w:rsidRPr="00806CE9" w:rsidRDefault="00806CE9" w:rsidP="0053022B">
            <w:pPr>
              <w:pStyle w:val="ListParagraph"/>
              <w:ind w:left="0"/>
              <w:jc w:val="both"/>
              <w:rPr>
                <w:rFonts w:ascii="Arial" w:hAnsi="Arial" w:cs="Arial"/>
                <w:b/>
                <w:lang w:val="en-US"/>
              </w:rPr>
            </w:pPr>
            <w:r w:rsidRPr="00806CE9">
              <w:rPr>
                <w:rFonts w:ascii="Arial" w:hAnsi="Arial" w:cs="Arial"/>
                <w:b/>
                <w:lang w:val="en-US"/>
              </w:rPr>
              <w:t>Total</w:t>
            </w:r>
          </w:p>
        </w:tc>
        <w:tc>
          <w:tcPr>
            <w:tcW w:w="1543" w:type="dxa"/>
          </w:tcPr>
          <w:p w14:paraId="6B3AA41D" w14:textId="77777777" w:rsidR="00806CE9" w:rsidRPr="00806CE9" w:rsidRDefault="00806CE9" w:rsidP="0053022B">
            <w:pPr>
              <w:pStyle w:val="ListParagraph"/>
              <w:ind w:left="0"/>
              <w:jc w:val="center"/>
              <w:rPr>
                <w:rFonts w:ascii="Arial" w:hAnsi="Arial" w:cs="Arial"/>
                <w:b/>
                <w:lang w:val="en-US"/>
              </w:rPr>
            </w:pPr>
            <w:r w:rsidRPr="00806CE9">
              <w:rPr>
                <w:rFonts w:ascii="Arial" w:hAnsi="Arial" w:cs="Arial"/>
                <w:b/>
                <w:lang w:val="en-US"/>
              </w:rPr>
              <w:t>3,17,82,744</w:t>
            </w:r>
          </w:p>
        </w:tc>
        <w:tc>
          <w:tcPr>
            <w:tcW w:w="2045" w:type="dxa"/>
          </w:tcPr>
          <w:p w14:paraId="43B6D2D1" w14:textId="77777777" w:rsidR="00806CE9" w:rsidRPr="00806CE9" w:rsidRDefault="00806CE9" w:rsidP="0053022B">
            <w:pPr>
              <w:pStyle w:val="ListParagraph"/>
              <w:ind w:left="0"/>
              <w:jc w:val="center"/>
              <w:rPr>
                <w:rFonts w:ascii="Arial" w:hAnsi="Arial" w:cs="Arial"/>
                <w:b/>
                <w:lang w:val="en-US"/>
              </w:rPr>
            </w:pPr>
            <w:r w:rsidRPr="00806CE9">
              <w:rPr>
                <w:rFonts w:ascii="Arial" w:hAnsi="Arial" w:cs="Arial"/>
                <w:b/>
                <w:lang w:val="en-US"/>
              </w:rPr>
              <w:t>100.00</w:t>
            </w:r>
          </w:p>
        </w:tc>
      </w:tr>
    </w:tbl>
    <w:p w14:paraId="57865065" w14:textId="77777777" w:rsidR="00806CE9" w:rsidRPr="00806CE9" w:rsidRDefault="00806CE9" w:rsidP="00806CE9">
      <w:pPr>
        <w:jc w:val="both"/>
        <w:rPr>
          <w:rFonts w:ascii="Arial" w:hAnsi="Arial" w:cs="Arial"/>
          <w:b/>
          <w:sz w:val="22"/>
          <w:szCs w:val="22"/>
          <w:u w:val="single"/>
        </w:rPr>
      </w:pPr>
    </w:p>
    <w:p w14:paraId="56C71991" w14:textId="77777777" w:rsidR="00806CE9" w:rsidRPr="00806CE9" w:rsidRDefault="00806CE9" w:rsidP="00806CE9">
      <w:pPr>
        <w:pStyle w:val="ListParagraph"/>
        <w:numPr>
          <w:ilvl w:val="0"/>
          <w:numId w:val="14"/>
        </w:numPr>
        <w:suppressAutoHyphens w:val="0"/>
        <w:contextualSpacing/>
        <w:jc w:val="both"/>
        <w:rPr>
          <w:rFonts w:ascii="Arial" w:hAnsi="Arial" w:cs="Arial"/>
          <w:b/>
          <w:sz w:val="22"/>
          <w:szCs w:val="22"/>
          <w:u w:val="single"/>
        </w:rPr>
      </w:pPr>
      <w:r w:rsidRPr="00806CE9">
        <w:rPr>
          <w:rFonts w:ascii="Arial" w:hAnsi="Arial" w:cs="Arial"/>
          <w:b/>
          <w:sz w:val="22"/>
          <w:szCs w:val="22"/>
          <w:u w:val="single"/>
        </w:rPr>
        <w:t>About Employee Stock Option Plan 2017</w:t>
      </w:r>
    </w:p>
    <w:p w14:paraId="2F2CB894" w14:textId="77777777" w:rsidR="00806CE9" w:rsidRPr="00806CE9" w:rsidRDefault="00806CE9" w:rsidP="00806CE9">
      <w:pPr>
        <w:pStyle w:val="ListParagraph"/>
        <w:ind w:left="1080"/>
        <w:jc w:val="both"/>
        <w:rPr>
          <w:rFonts w:ascii="Arial" w:hAnsi="Arial" w:cs="Arial"/>
          <w:b/>
          <w:sz w:val="22"/>
          <w:szCs w:val="22"/>
          <w:u w:val="single"/>
        </w:rPr>
      </w:pPr>
    </w:p>
    <w:p w14:paraId="61B1C4A1" w14:textId="77777777" w:rsidR="00806CE9" w:rsidRPr="00806CE9" w:rsidRDefault="00806CE9" w:rsidP="00806CE9">
      <w:pPr>
        <w:pStyle w:val="ListParagraph"/>
        <w:numPr>
          <w:ilvl w:val="0"/>
          <w:numId w:val="16"/>
        </w:numPr>
        <w:suppressAutoHyphens w:val="0"/>
        <w:ind w:left="720"/>
        <w:contextualSpacing/>
        <w:jc w:val="both"/>
        <w:rPr>
          <w:rFonts w:ascii="Arial" w:hAnsi="Arial" w:cs="Arial"/>
          <w:b/>
          <w:sz w:val="22"/>
          <w:szCs w:val="22"/>
          <w:u w:val="single"/>
        </w:rPr>
      </w:pPr>
      <w:r w:rsidRPr="00806CE9">
        <w:rPr>
          <w:rFonts w:ascii="Arial" w:hAnsi="Arial" w:cs="Arial"/>
          <w:bCs/>
          <w:sz w:val="22"/>
          <w:szCs w:val="22"/>
        </w:rPr>
        <w:t>The Company had approved an “Employee Stock Option Plan 2017” at its Annual General Meeting held on August 11, 2017 to grant options to the Eligible Employees not exceeding 12,71,309 (Twelve Lakh Seventy One Thousand Three Hundred and Nine Only)</w:t>
      </w:r>
      <w:r w:rsidRPr="00806CE9">
        <w:rPr>
          <w:rFonts w:ascii="Arial" w:hAnsi="Arial" w:cs="Arial"/>
          <w:sz w:val="22"/>
          <w:szCs w:val="22"/>
        </w:rPr>
        <w:t xml:space="preserve"> exercisable into not more than </w:t>
      </w:r>
      <w:r w:rsidRPr="00806CE9">
        <w:rPr>
          <w:rFonts w:ascii="Arial" w:hAnsi="Arial" w:cs="Arial"/>
          <w:bCs/>
          <w:sz w:val="22"/>
          <w:szCs w:val="22"/>
        </w:rPr>
        <w:t>12,71,309 (Twelve Lakh Seventy One Thousand Three Hundred and Nine Only)</w:t>
      </w:r>
      <w:r w:rsidRPr="00806CE9">
        <w:rPr>
          <w:rFonts w:ascii="Arial" w:hAnsi="Arial" w:cs="Arial"/>
          <w:sz w:val="22"/>
          <w:szCs w:val="22"/>
        </w:rPr>
        <w:t xml:space="preserve"> Shares of face value of Re. 2 (Rupee Two) each fully paid-up with each such Option conferring a right upon the Eligible Employee to apply for one share of the Company, in accordance with the terms and conditions of the Scheme.</w:t>
      </w:r>
    </w:p>
    <w:p w14:paraId="7BD13D89" w14:textId="77777777" w:rsidR="00806CE9" w:rsidRPr="00806CE9" w:rsidRDefault="00806CE9" w:rsidP="00806CE9">
      <w:pPr>
        <w:pStyle w:val="ListParagraph"/>
        <w:jc w:val="both"/>
        <w:rPr>
          <w:rFonts w:ascii="Arial" w:hAnsi="Arial" w:cs="Arial"/>
          <w:b/>
          <w:sz w:val="22"/>
          <w:szCs w:val="22"/>
          <w:u w:val="single"/>
        </w:rPr>
      </w:pPr>
    </w:p>
    <w:p w14:paraId="2532A3F0" w14:textId="77777777" w:rsidR="00806CE9" w:rsidRPr="00806CE9" w:rsidRDefault="00806CE9" w:rsidP="00806CE9">
      <w:pPr>
        <w:pStyle w:val="ListParagraph"/>
        <w:numPr>
          <w:ilvl w:val="0"/>
          <w:numId w:val="16"/>
        </w:numPr>
        <w:suppressAutoHyphens w:val="0"/>
        <w:ind w:left="720"/>
        <w:contextualSpacing/>
        <w:jc w:val="both"/>
        <w:rPr>
          <w:rFonts w:ascii="Arial" w:hAnsi="Arial" w:cs="Arial"/>
          <w:b/>
          <w:sz w:val="22"/>
          <w:szCs w:val="22"/>
          <w:u w:val="single"/>
        </w:rPr>
      </w:pPr>
      <w:r w:rsidRPr="00806CE9">
        <w:rPr>
          <w:rFonts w:ascii="Arial" w:hAnsi="Arial" w:cs="Arial"/>
          <w:sz w:val="22"/>
          <w:szCs w:val="22"/>
        </w:rPr>
        <w:t xml:space="preserve">Out of the total 12,71,309 options available for the Eligible Employees under the Scheme, the following table represents the number of options granted, vested, lapsed / forfeited, and exercised since the adoption of scheme.  </w:t>
      </w:r>
    </w:p>
    <w:p w14:paraId="22C7E8B5" w14:textId="77777777" w:rsidR="00806CE9" w:rsidRPr="00806CE9" w:rsidRDefault="00806CE9" w:rsidP="00806CE9">
      <w:pPr>
        <w:jc w:val="both"/>
        <w:rPr>
          <w:rFonts w:ascii="Arial" w:hAnsi="Arial" w:cs="Arial"/>
          <w:b/>
          <w:sz w:val="22"/>
          <w:szCs w:val="22"/>
          <w:u w:val="single"/>
        </w:rPr>
      </w:pPr>
    </w:p>
    <w:tbl>
      <w:tblPr>
        <w:tblStyle w:val="TableGrid"/>
        <w:tblW w:w="5133" w:type="pct"/>
        <w:jc w:val="center"/>
        <w:tblLook w:val="04A0" w:firstRow="1" w:lastRow="0" w:firstColumn="1" w:lastColumn="0" w:noHBand="0" w:noVBand="1"/>
      </w:tblPr>
      <w:tblGrid>
        <w:gridCol w:w="2906"/>
        <w:gridCol w:w="1151"/>
        <w:gridCol w:w="1152"/>
        <w:gridCol w:w="1152"/>
        <w:gridCol w:w="1393"/>
        <w:gridCol w:w="1386"/>
      </w:tblGrid>
      <w:tr w:rsidR="00806CE9" w:rsidRPr="00806CE9" w14:paraId="01BAA534" w14:textId="77777777" w:rsidTr="00315481">
        <w:trPr>
          <w:jc w:val="center"/>
        </w:trPr>
        <w:tc>
          <w:tcPr>
            <w:tcW w:w="1590" w:type="pct"/>
          </w:tcPr>
          <w:p w14:paraId="6A373C45" w14:textId="77777777" w:rsidR="00806CE9" w:rsidRPr="00806CE9" w:rsidRDefault="00806CE9" w:rsidP="0053022B">
            <w:pPr>
              <w:jc w:val="center"/>
              <w:rPr>
                <w:rFonts w:ascii="Arial" w:hAnsi="Arial" w:cs="Arial"/>
                <w:b/>
                <w:lang w:val="en-US"/>
              </w:rPr>
            </w:pPr>
            <w:r w:rsidRPr="00806CE9">
              <w:rPr>
                <w:rFonts w:ascii="Arial" w:hAnsi="Arial" w:cs="Arial"/>
                <w:b/>
                <w:lang w:val="en-US"/>
              </w:rPr>
              <w:t>Particulars</w:t>
            </w:r>
          </w:p>
        </w:tc>
        <w:tc>
          <w:tcPr>
            <w:tcW w:w="630" w:type="pct"/>
          </w:tcPr>
          <w:p w14:paraId="64101F12" w14:textId="77777777" w:rsidR="00806CE9" w:rsidRPr="00806CE9" w:rsidRDefault="00806CE9" w:rsidP="0053022B">
            <w:pPr>
              <w:jc w:val="center"/>
              <w:rPr>
                <w:rFonts w:ascii="Arial" w:hAnsi="Arial" w:cs="Arial"/>
                <w:b/>
                <w:lang w:val="en-US"/>
              </w:rPr>
            </w:pPr>
            <w:r w:rsidRPr="00806CE9">
              <w:rPr>
                <w:rFonts w:ascii="Arial" w:hAnsi="Arial" w:cs="Arial"/>
                <w:b/>
                <w:lang w:val="en-US"/>
              </w:rPr>
              <w:t>FY 2017 -2018</w:t>
            </w:r>
          </w:p>
        </w:tc>
        <w:tc>
          <w:tcPr>
            <w:tcW w:w="630" w:type="pct"/>
          </w:tcPr>
          <w:p w14:paraId="5984E6FB" w14:textId="77777777" w:rsidR="00806CE9" w:rsidRPr="00806CE9" w:rsidRDefault="00806CE9" w:rsidP="0053022B">
            <w:pPr>
              <w:jc w:val="center"/>
              <w:rPr>
                <w:rFonts w:ascii="Arial" w:hAnsi="Arial" w:cs="Arial"/>
                <w:b/>
                <w:lang w:val="en-US"/>
              </w:rPr>
            </w:pPr>
            <w:r w:rsidRPr="00806CE9">
              <w:rPr>
                <w:rFonts w:ascii="Arial" w:hAnsi="Arial" w:cs="Arial"/>
                <w:b/>
                <w:lang w:val="en-US"/>
              </w:rPr>
              <w:t>FY 2018 - 2019</w:t>
            </w:r>
          </w:p>
        </w:tc>
        <w:tc>
          <w:tcPr>
            <w:tcW w:w="630" w:type="pct"/>
          </w:tcPr>
          <w:p w14:paraId="5A9E052C" w14:textId="77777777" w:rsidR="00806CE9" w:rsidRPr="00806CE9" w:rsidRDefault="00806CE9" w:rsidP="0053022B">
            <w:pPr>
              <w:jc w:val="center"/>
              <w:rPr>
                <w:rFonts w:ascii="Arial" w:hAnsi="Arial" w:cs="Arial"/>
                <w:b/>
                <w:lang w:val="en-US"/>
              </w:rPr>
            </w:pPr>
            <w:r w:rsidRPr="00806CE9">
              <w:rPr>
                <w:rFonts w:ascii="Arial" w:hAnsi="Arial" w:cs="Arial"/>
                <w:b/>
                <w:lang w:val="en-US"/>
              </w:rPr>
              <w:t>FY 2019 - 2020</w:t>
            </w:r>
          </w:p>
        </w:tc>
        <w:tc>
          <w:tcPr>
            <w:tcW w:w="762" w:type="pct"/>
          </w:tcPr>
          <w:p w14:paraId="7B394897" w14:textId="77777777" w:rsidR="00806CE9" w:rsidRPr="00806CE9" w:rsidRDefault="00806CE9" w:rsidP="0053022B">
            <w:pPr>
              <w:autoSpaceDE w:val="0"/>
              <w:autoSpaceDN w:val="0"/>
              <w:adjustRightInd w:val="0"/>
              <w:jc w:val="center"/>
              <w:rPr>
                <w:rFonts w:ascii="Arial" w:hAnsi="Arial" w:cs="Arial"/>
                <w:b/>
              </w:rPr>
            </w:pPr>
            <w:r w:rsidRPr="00806CE9">
              <w:rPr>
                <w:rFonts w:ascii="Arial" w:hAnsi="Arial" w:cs="Arial"/>
                <w:b/>
                <w:lang w:val="en-US"/>
              </w:rPr>
              <w:t xml:space="preserve">FY </w:t>
            </w:r>
            <w:r w:rsidRPr="00806CE9">
              <w:rPr>
                <w:rFonts w:ascii="Arial" w:hAnsi="Arial" w:cs="Arial"/>
                <w:b/>
              </w:rPr>
              <w:t>2020 - 2021</w:t>
            </w:r>
          </w:p>
        </w:tc>
        <w:tc>
          <w:tcPr>
            <w:tcW w:w="758" w:type="pct"/>
          </w:tcPr>
          <w:p w14:paraId="5FA2C05D" w14:textId="77777777" w:rsidR="00806CE9" w:rsidRPr="00806CE9" w:rsidRDefault="00806CE9" w:rsidP="0053022B">
            <w:pPr>
              <w:autoSpaceDE w:val="0"/>
              <w:autoSpaceDN w:val="0"/>
              <w:adjustRightInd w:val="0"/>
              <w:jc w:val="center"/>
              <w:rPr>
                <w:rFonts w:ascii="Arial" w:hAnsi="Arial" w:cs="Arial"/>
                <w:b/>
              </w:rPr>
            </w:pPr>
            <w:r w:rsidRPr="00806CE9">
              <w:rPr>
                <w:rFonts w:ascii="Arial" w:hAnsi="Arial" w:cs="Arial"/>
                <w:b/>
                <w:lang w:val="en-US"/>
              </w:rPr>
              <w:t xml:space="preserve">FY </w:t>
            </w:r>
            <w:r w:rsidRPr="00806CE9">
              <w:rPr>
                <w:rFonts w:ascii="Arial" w:hAnsi="Arial" w:cs="Arial"/>
                <w:b/>
              </w:rPr>
              <w:t>2021 - 2022</w:t>
            </w:r>
          </w:p>
        </w:tc>
      </w:tr>
      <w:tr w:rsidR="00806CE9" w:rsidRPr="00806CE9" w14:paraId="5820B183" w14:textId="77777777" w:rsidTr="00315481">
        <w:trPr>
          <w:jc w:val="center"/>
        </w:trPr>
        <w:tc>
          <w:tcPr>
            <w:tcW w:w="1590" w:type="pct"/>
          </w:tcPr>
          <w:p w14:paraId="70606134" w14:textId="77777777" w:rsidR="00806CE9" w:rsidRPr="00806CE9" w:rsidRDefault="00806CE9" w:rsidP="0053022B">
            <w:pPr>
              <w:autoSpaceDE w:val="0"/>
              <w:autoSpaceDN w:val="0"/>
              <w:adjustRightInd w:val="0"/>
              <w:jc w:val="both"/>
              <w:rPr>
                <w:rFonts w:ascii="Arial" w:hAnsi="Arial" w:cs="Arial"/>
                <w:b/>
                <w:color w:val="000000"/>
              </w:rPr>
            </w:pPr>
            <w:r w:rsidRPr="00806CE9">
              <w:rPr>
                <w:rFonts w:ascii="Arial" w:hAnsi="Arial" w:cs="Arial"/>
                <w:b/>
                <w:color w:val="000000"/>
              </w:rPr>
              <w:t xml:space="preserve">No. of options </w:t>
            </w:r>
            <w:r w:rsidRPr="00806CE9">
              <w:rPr>
                <w:rFonts w:ascii="Arial" w:hAnsi="Arial" w:cs="Arial"/>
                <w:b/>
              </w:rPr>
              <w:t>outstanding at the beginning of the period</w:t>
            </w:r>
          </w:p>
        </w:tc>
        <w:tc>
          <w:tcPr>
            <w:tcW w:w="630" w:type="pct"/>
          </w:tcPr>
          <w:p w14:paraId="3C7DF344" w14:textId="77777777" w:rsidR="00806CE9" w:rsidRPr="00806CE9" w:rsidRDefault="00806CE9" w:rsidP="0053022B">
            <w:pPr>
              <w:jc w:val="right"/>
              <w:rPr>
                <w:rFonts w:ascii="Arial" w:hAnsi="Arial" w:cs="Arial"/>
                <w:bCs/>
                <w:lang w:val="en-US"/>
              </w:rPr>
            </w:pPr>
            <w:r w:rsidRPr="00806CE9">
              <w:rPr>
                <w:rFonts w:ascii="Arial" w:hAnsi="Arial" w:cs="Arial"/>
                <w:bCs/>
                <w:lang w:val="en-US"/>
              </w:rPr>
              <w:t>Nil</w:t>
            </w:r>
          </w:p>
        </w:tc>
        <w:tc>
          <w:tcPr>
            <w:tcW w:w="630" w:type="pct"/>
          </w:tcPr>
          <w:p w14:paraId="46EA4D59" w14:textId="77777777" w:rsidR="00806CE9" w:rsidRPr="00806CE9" w:rsidRDefault="00806CE9" w:rsidP="0053022B">
            <w:pPr>
              <w:jc w:val="right"/>
              <w:rPr>
                <w:rFonts w:ascii="Arial" w:hAnsi="Arial" w:cs="Arial"/>
                <w:bCs/>
                <w:lang w:val="en-US"/>
              </w:rPr>
            </w:pPr>
            <w:r w:rsidRPr="00806CE9">
              <w:rPr>
                <w:rFonts w:ascii="Arial" w:hAnsi="Arial" w:cs="Arial"/>
                <w:bCs/>
                <w:lang w:val="en-US"/>
              </w:rPr>
              <w:t>1,57,500</w:t>
            </w:r>
          </w:p>
        </w:tc>
        <w:tc>
          <w:tcPr>
            <w:tcW w:w="630" w:type="pct"/>
          </w:tcPr>
          <w:p w14:paraId="25A61A6A" w14:textId="77777777" w:rsidR="00806CE9" w:rsidRPr="00806CE9" w:rsidRDefault="00806CE9" w:rsidP="0053022B">
            <w:pPr>
              <w:jc w:val="right"/>
              <w:rPr>
                <w:rFonts w:ascii="Arial" w:hAnsi="Arial" w:cs="Arial"/>
                <w:bCs/>
                <w:lang w:val="en-US"/>
              </w:rPr>
            </w:pPr>
            <w:r w:rsidRPr="00806CE9">
              <w:rPr>
                <w:rFonts w:ascii="Arial" w:hAnsi="Arial" w:cs="Arial"/>
                <w:bCs/>
                <w:lang w:val="en-US"/>
              </w:rPr>
              <w:t>72,000</w:t>
            </w:r>
          </w:p>
        </w:tc>
        <w:tc>
          <w:tcPr>
            <w:tcW w:w="762" w:type="pct"/>
          </w:tcPr>
          <w:p w14:paraId="70500821" w14:textId="77777777" w:rsidR="00806CE9" w:rsidRPr="00806CE9" w:rsidRDefault="00806CE9" w:rsidP="0053022B">
            <w:pPr>
              <w:jc w:val="right"/>
              <w:rPr>
                <w:rFonts w:ascii="Arial" w:hAnsi="Arial" w:cs="Arial"/>
                <w:b/>
                <w:u w:val="single"/>
                <w:lang w:val="en-US"/>
              </w:rPr>
            </w:pPr>
            <w:r w:rsidRPr="00806CE9">
              <w:rPr>
                <w:rFonts w:ascii="Arial" w:hAnsi="Arial" w:cs="Arial"/>
                <w:bCs/>
                <w:lang w:val="en-US"/>
              </w:rPr>
              <w:t>2,69,000</w:t>
            </w:r>
          </w:p>
        </w:tc>
        <w:tc>
          <w:tcPr>
            <w:tcW w:w="758" w:type="pct"/>
          </w:tcPr>
          <w:p w14:paraId="4954DFF6" w14:textId="77777777" w:rsidR="00806CE9" w:rsidRPr="00806CE9" w:rsidRDefault="00806CE9" w:rsidP="0053022B">
            <w:pPr>
              <w:jc w:val="right"/>
              <w:rPr>
                <w:rFonts w:ascii="Arial" w:hAnsi="Arial" w:cs="Arial"/>
                <w:bCs/>
                <w:lang w:val="en-US"/>
              </w:rPr>
            </w:pPr>
            <w:r w:rsidRPr="00806CE9">
              <w:rPr>
                <w:rFonts w:ascii="Arial" w:hAnsi="Arial" w:cs="Arial"/>
                <w:bCs/>
                <w:lang w:val="en-US"/>
              </w:rPr>
              <w:t>2,46,000</w:t>
            </w:r>
          </w:p>
        </w:tc>
      </w:tr>
      <w:tr w:rsidR="00806CE9" w:rsidRPr="00806CE9" w14:paraId="491C4B0B" w14:textId="77777777" w:rsidTr="00315481">
        <w:trPr>
          <w:jc w:val="center"/>
        </w:trPr>
        <w:tc>
          <w:tcPr>
            <w:tcW w:w="1590" w:type="pct"/>
          </w:tcPr>
          <w:p w14:paraId="7946E3ED" w14:textId="77777777" w:rsidR="00806CE9" w:rsidRPr="00806CE9" w:rsidRDefault="00806CE9" w:rsidP="0053022B">
            <w:pPr>
              <w:autoSpaceDE w:val="0"/>
              <w:autoSpaceDN w:val="0"/>
              <w:adjustRightInd w:val="0"/>
              <w:jc w:val="both"/>
              <w:rPr>
                <w:rFonts w:ascii="Arial" w:hAnsi="Arial" w:cs="Arial"/>
                <w:b/>
                <w:color w:val="000000"/>
              </w:rPr>
            </w:pPr>
            <w:r w:rsidRPr="00806CE9">
              <w:rPr>
                <w:rFonts w:ascii="Arial" w:hAnsi="Arial" w:cs="Arial"/>
                <w:b/>
                <w:color w:val="000000"/>
              </w:rPr>
              <w:t xml:space="preserve">Number of options granted during </w:t>
            </w:r>
            <w:r w:rsidRPr="00806CE9">
              <w:rPr>
                <w:rFonts w:ascii="Arial" w:hAnsi="Arial" w:cs="Arial"/>
                <w:b/>
              </w:rPr>
              <w:t>the year</w:t>
            </w:r>
          </w:p>
        </w:tc>
        <w:tc>
          <w:tcPr>
            <w:tcW w:w="630" w:type="pct"/>
          </w:tcPr>
          <w:p w14:paraId="2FA2E62C" w14:textId="77777777" w:rsidR="00806CE9" w:rsidRPr="00806CE9" w:rsidRDefault="00806CE9" w:rsidP="0053022B">
            <w:pPr>
              <w:jc w:val="right"/>
              <w:rPr>
                <w:rFonts w:ascii="Arial" w:hAnsi="Arial" w:cs="Arial"/>
                <w:bCs/>
                <w:lang w:val="en-US"/>
              </w:rPr>
            </w:pPr>
            <w:r w:rsidRPr="00806CE9">
              <w:rPr>
                <w:rFonts w:ascii="Arial" w:hAnsi="Arial" w:cs="Arial"/>
                <w:bCs/>
                <w:lang w:val="en-US"/>
              </w:rPr>
              <w:t>1,66,500</w:t>
            </w:r>
          </w:p>
        </w:tc>
        <w:tc>
          <w:tcPr>
            <w:tcW w:w="630" w:type="pct"/>
          </w:tcPr>
          <w:p w14:paraId="1764EF31" w14:textId="77777777" w:rsidR="00806CE9" w:rsidRPr="00806CE9" w:rsidRDefault="00806CE9" w:rsidP="0053022B">
            <w:pPr>
              <w:jc w:val="right"/>
              <w:rPr>
                <w:rFonts w:ascii="Arial" w:hAnsi="Arial" w:cs="Arial"/>
                <w:bCs/>
                <w:lang w:val="en-US"/>
              </w:rPr>
            </w:pPr>
            <w:r w:rsidRPr="00806CE9">
              <w:rPr>
                <w:rFonts w:ascii="Arial" w:hAnsi="Arial" w:cs="Arial"/>
                <w:bCs/>
                <w:lang w:val="en-US"/>
              </w:rPr>
              <w:t>Nil</w:t>
            </w:r>
          </w:p>
        </w:tc>
        <w:tc>
          <w:tcPr>
            <w:tcW w:w="630" w:type="pct"/>
          </w:tcPr>
          <w:p w14:paraId="1638F00A" w14:textId="77777777" w:rsidR="00806CE9" w:rsidRPr="00806CE9" w:rsidRDefault="00806CE9" w:rsidP="0053022B">
            <w:pPr>
              <w:jc w:val="right"/>
              <w:rPr>
                <w:rFonts w:ascii="Arial" w:hAnsi="Arial" w:cs="Arial"/>
                <w:bCs/>
                <w:lang w:val="en-US"/>
              </w:rPr>
            </w:pPr>
            <w:r w:rsidRPr="00806CE9">
              <w:rPr>
                <w:rFonts w:ascii="Arial" w:hAnsi="Arial" w:cs="Arial"/>
                <w:bCs/>
                <w:lang w:val="en-US"/>
              </w:rPr>
              <w:t>2,57,500</w:t>
            </w:r>
          </w:p>
        </w:tc>
        <w:tc>
          <w:tcPr>
            <w:tcW w:w="762" w:type="pct"/>
          </w:tcPr>
          <w:p w14:paraId="215D5CD1" w14:textId="77777777" w:rsidR="00806CE9" w:rsidRPr="00806CE9" w:rsidRDefault="00806CE9" w:rsidP="0053022B">
            <w:pPr>
              <w:jc w:val="right"/>
              <w:rPr>
                <w:rFonts w:ascii="Arial" w:hAnsi="Arial" w:cs="Arial"/>
                <w:bCs/>
                <w:lang w:val="en-US"/>
              </w:rPr>
            </w:pPr>
            <w:r w:rsidRPr="00806CE9">
              <w:rPr>
                <w:rFonts w:ascii="Arial" w:hAnsi="Arial" w:cs="Arial"/>
                <w:bCs/>
                <w:lang w:val="en-US"/>
              </w:rPr>
              <w:t>Nil</w:t>
            </w:r>
          </w:p>
        </w:tc>
        <w:tc>
          <w:tcPr>
            <w:tcW w:w="758" w:type="pct"/>
          </w:tcPr>
          <w:p w14:paraId="15BE85B6" w14:textId="77777777" w:rsidR="00806CE9" w:rsidRPr="00806CE9" w:rsidRDefault="00806CE9" w:rsidP="0053022B">
            <w:pPr>
              <w:jc w:val="right"/>
              <w:rPr>
                <w:rFonts w:ascii="Arial" w:hAnsi="Arial" w:cs="Arial"/>
                <w:bCs/>
                <w:lang w:val="en-US"/>
              </w:rPr>
            </w:pPr>
            <w:r w:rsidRPr="00806CE9">
              <w:rPr>
                <w:rFonts w:ascii="Arial" w:hAnsi="Arial" w:cs="Arial"/>
                <w:bCs/>
                <w:lang w:val="en-US"/>
              </w:rPr>
              <w:t>3,19,000</w:t>
            </w:r>
          </w:p>
        </w:tc>
      </w:tr>
      <w:tr w:rsidR="00806CE9" w:rsidRPr="00806CE9" w14:paraId="7AA54169" w14:textId="77777777" w:rsidTr="00315481">
        <w:trPr>
          <w:jc w:val="center"/>
        </w:trPr>
        <w:tc>
          <w:tcPr>
            <w:tcW w:w="1590" w:type="pct"/>
          </w:tcPr>
          <w:p w14:paraId="5D77BA1D" w14:textId="77777777" w:rsidR="00806CE9" w:rsidRPr="00806CE9" w:rsidRDefault="00806CE9" w:rsidP="0053022B">
            <w:pPr>
              <w:autoSpaceDE w:val="0"/>
              <w:autoSpaceDN w:val="0"/>
              <w:adjustRightInd w:val="0"/>
              <w:jc w:val="both"/>
              <w:rPr>
                <w:rFonts w:ascii="Arial" w:hAnsi="Arial" w:cs="Arial"/>
                <w:b/>
                <w:color w:val="000000"/>
              </w:rPr>
            </w:pPr>
            <w:r w:rsidRPr="00806CE9">
              <w:rPr>
                <w:rFonts w:ascii="Arial" w:hAnsi="Arial" w:cs="Arial"/>
                <w:b/>
                <w:color w:val="000000"/>
              </w:rPr>
              <w:t>Date of grant of options</w:t>
            </w:r>
          </w:p>
        </w:tc>
        <w:tc>
          <w:tcPr>
            <w:tcW w:w="630" w:type="pct"/>
          </w:tcPr>
          <w:p w14:paraId="552BD190" w14:textId="77777777" w:rsidR="00806CE9" w:rsidRPr="00806CE9" w:rsidRDefault="00806CE9" w:rsidP="0053022B">
            <w:pPr>
              <w:jc w:val="right"/>
              <w:rPr>
                <w:rFonts w:ascii="Arial" w:hAnsi="Arial" w:cs="Arial"/>
                <w:bCs/>
                <w:lang w:val="en-US"/>
              </w:rPr>
            </w:pPr>
            <w:r w:rsidRPr="00806CE9">
              <w:rPr>
                <w:rFonts w:ascii="Arial" w:hAnsi="Arial" w:cs="Arial"/>
                <w:bCs/>
                <w:lang w:val="en-US"/>
              </w:rPr>
              <w:t>January 25, 2018</w:t>
            </w:r>
          </w:p>
        </w:tc>
        <w:tc>
          <w:tcPr>
            <w:tcW w:w="630" w:type="pct"/>
          </w:tcPr>
          <w:p w14:paraId="0D1351CA" w14:textId="77777777" w:rsidR="00806CE9" w:rsidRPr="00806CE9" w:rsidRDefault="00806CE9" w:rsidP="0053022B">
            <w:pPr>
              <w:jc w:val="right"/>
              <w:rPr>
                <w:rFonts w:ascii="Arial" w:hAnsi="Arial" w:cs="Arial"/>
                <w:bCs/>
                <w:lang w:val="en-US"/>
              </w:rPr>
            </w:pPr>
            <w:r w:rsidRPr="00806CE9">
              <w:rPr>
                <w:rFonts w:ascii="Arial" w:hAnsi="Arial" w:cs="Arial"/>
                <w:bCs/>
                <w:lang w:val="en-US"/>
              </w:rPr>
              <w:t>NA</w:t>
            </w:r>
          </w:p>
        </w:tc>
        <w:tc>
          <w:tcPr>
            <w:tcW w:w="630" w:type="pct"/>
          </w:tcPr>
          <w:p w14:paraId="39356902" w14:textId="77777777" w:rsidR="00806CE9" w:rsidRPr="00806CE9" w:rsidRDefault="00806CE9" w:rsidP="0053022B">
            <w:pPr>
              <w:jc w:val="right"/>
              <w:rPr>
                <w:rFonts w:ascii="Arial" w:hAnsi="Arial" w:cs="Arial"/>
                <w:bCs/>
                <w:lang w:val="en-US"/>
              </w:rPr>
            </w:pPr>
            <w:r w:rsidRPr="00806CE9">
              <w:rPr>
                <w:rFonts w:ascii="Arial" w:hAnsi="Arial" w:cs="Arial"/>
                <w:bCs/>
                <w:lang w:val="en-US"/>
              </w:rPr>
              <w:t>August 10, 2019</w:t>
            </w:r>
          </w:p>
        </w:tc>
        <w:tc>
          <w:tcPr>
            <w:tcW w:w="762" w:type="pct"/>
          </w:tcPr>
          <w:p w14:paraId="510A3529" w14:textId="77777777" w:rsidR="00806CE9" w:rsidRPr="00806CE9" w:rsidRDefault="00806CE9" w:rsidP="0053022B">
            <w:pPr>
              <w:jc w:val="right"/>
              <w:rPr>
                <w:rFonts w:ascii="Arial" w:hAnsi="Arial" w:cs="Arial"/>
                <w:bCs/>
                <w:lang w:val="en-US"/>
              </w:rPr>
            </w:pPr>
            <w:r w:rsidRPr="00806CE9">
              <w:rPr>
                <w:rFonts w:ascii="Arial" w:hAnsi="Arial" w:cs="Arial"/>
                <w:bCs/>
                <w:lang w:val="en-US"/>
              </w:rPr>
              <w:t>NA</w:t>
            </w:r>
          </w:p>
        </w:tc>
        <w:tc>
          <w:tcPr>
            <w:tcW w:w="758" w:type="pct"/>
          </w:tcPr>
          <w:p w14:paraId="0FA65205" w14:textId="77777777" w:rsidR="00806CE9" w:rsidRPr="00806CE9" w:rsidRDefault="00806CE9" w:rsidP="0053022B">
            <w:pPr>
              <w:jc w:val="right"/>
              <w:rPr>
                <w:rFonts w:ascii="Arial" w:hAnsi="Arial" w:cs="Arial"/>
                <w:bCs/>
                <w:lang w:val="en-US"/>
              </w:rPr>
            </w:pPr>
            <w:r w:rsidRPr="00806CE9">
              <w:rPr>
                <w:rFonts w:ascii="Arial" w:hAnsi="Arial" w:cs="Arial"/>
                <w:bCs/>
                <w:lang w:val="en-US"/>
              </w:rPr>
              <w:t>October 29, 2021</w:t>
            </w:r>
          </w:p>
        </w:tc>
      </w:tr>
      <w:tr w:rsidR="00806CE9" w:rsidRPr="00806CE9" w14:paraId="37209F8A" w14:textId="77777777" w:rsidTr="00315481">
        <w:trPr>
          <w:jc w:val="center"/>
        </w:trPr>
        <w:tc>
          <w:tcPr>
            <w:tcW w:w="1590" w:type="pct"/>
          </w:tcPr>
          <w:p w14:paraId="30CB50CE" w14:textId="77777777" w:rsidR="00806CE9" w:rsidRPr="00806CE9" w:rsidRDefault="00806CE9" w:rsidP="0053022B">
            <w:pPr>
              <w:autoSpaceDE w:val="0"/>
              <w:autoSpaceDN w:val="0"/>
              <w:adjustRightInd w:val="0"/>
              <w:jc w:val="both"/>
              <w:rPr>
                <w:rFonts w:ascii="Arial" w:hAnsi="Arial" w:cs="Arial"/>
                <w:b/>
                <w:color w:val="000000"/>
              </w:rPr>
            </w:pPr>
            <w:r w:rsidRPr="00806CE9">
              <w:rPr>
                <w:rFonts w:ascii="Arial" w:hAnsi="Arial" w:cs="Arial"/>
                <w:b/>
                <w:color w:val="000000"/>
              </w:rPr>
              <w:t xml:space="preserve">Number of options forfeited / </w:t>
            </w:r>
            <w:r w:rsidRPr="00806CE9">
              <w:rPr>
                <w:rFonts w:ascii="Arial" w:hAnsi="Arial" w:cs="Arial"/>
                <w:b/>
              </w:rPr>
              <w:t>lapsed during the year / Employees Left</w:t>
            </w:r>
          </w:p>
        </w:tc>
        <w:tc>
          <w:tcPr>
            <w:tcW w:w="630" w:type="pct"/>
          </w:tcPr>
          <w:p w14:paraId="02E7CBD3" w14:textId="77777777" w:rsidR="00806CE9" w:rsidRPr="00806CE9" w:rsidRDefault="00806CE9" w:rsidP="0053022B">
            <w:pPr>
              <w:jc w:val="right"/>
              <w:rPr>
                <w:rFonts w:ascii="Arial" w:hAnsi="Arial" w:cs="Arial"/>
                <w:bCs/>
                <w:lang w:val="en-US"/>
              </w:rPr>
            </w:pPr>
            <w:r w:rsidRPr="00806CE9">
              <w:rPr>
                <w:rFonts w:ascii="Arial" w:hAnsi="Arial" w:cs="Arial"/>
                <w:bCs/>
                <w:lang w:val="en-US"/>
              </w:rPr>
              <w:t>9,000</w:t>
            </w:r>
          </w:p>
        </w:tc>
        <w:tc>
          <w:tcPr>
            <w:tcW w:w="630" w:type="pct"/>
          </w:tcPr>
          <w:p w14:paraId="11832117" w14:textId="77777777" w:rsidR="00806CE9" w:rsidRPr="00806CE9" w:rsidRDefault="00806CE9" w:rsidP="0053022B">
            <w:pPr>
              <w:jc w:val="right"/>
              <w:rPr>
                <w:rFonts w:ascii="Arial" w:hAnsi="Arial" w:cs="Arial"/>
                <w:bCs/>
                <w:lang w:val="en-US"/>
              </w:rPr>
            </w:pPr>
            <w:r w:rsidRPr="00806CE9">
              <w:rPr>
                <w:rFonts w:ascii="Arial" w:hAnsi="Arial" w:cs="Arial"/>
                <w:bCs/>
                <w:lang w:val="en-US"/>
              </w:rPr>
              <w:t>85,500</w:t>
            </w:r>
          </w:p>
        </w:tc>
        <w:tc>
          <w:tcPr>
            <w:tcW w:w="630" w:type="pct"/>
          </w:tcPr>
          <w:p w14:paraId="6E99351D" w14:textId="77777777" w:rsidR="00806CE9" w:rsidRPr="00806CE9" w:rsidRDefault="00806CE9" w:rsidP="0053022B">
            <w:pPr>
              <w:jc w:val="right"/>
              <w:rPr>
                <w:rFonts w:ascii="Arial" w:hAnsi="Arial" w:cs="Arial"/>
                <w:bCs/>
                <w:lang w:val="en-US"/>
              </w:rPr>
            </w:pPr>
            <w:r w:rsidRPr="00806CE9">
              <w:rPr>
                <w:rFonts w:ascii="Arial" w:hAnsi="Arial" w:cs="Arial"/>
                <w:bCs/>
                <w:lang w:val="en-US"/>
              </w:rPr>
              <w:t>60,500</w:t>
            </w:r>
          </w:p>
        </w:tc>
        <w:tc>
          <w:tcPr>
            <w:tcW w:w="762" w:type="pct"/>
          </w:tcPr>
          <w:p w14:paraId="06978E81" w14:textId="77777777" w:rsidR="00806CE9" w:rsidRPr="00806CE9" w:rsidRDefault="00806CE9" w:rsidP="0053022B">
            <w:pPr>
              <w:jc w:val="right"/>
              <w:rPr>
                <w:rFonts w:ascii="Arial" w:hAnsi="Arial" w:cs="Arial"/>
                <w:bCs/>
                <w:lang w:val="en-US"/>
              </w:rPr>
            </w:pPr>
            <w:r w:rsidRPr="00806CE9">
              <w:rPr>
                <w:rFonts w:ascii="Arial" w:hAnsi="Arial" w:cs="Arial"/>
                <w:bCs/>
                <w:lang w:val="en-US"/>
              </w:rPr>
              <w:t>23,000</w:t>
            </w:r>
          </w:p>
        </w:tc>
        <w:tc>
          <w:tcPr>
            <w:tcW w:w="758" w:type="pct"/>
          </w:tcPr>
          <w:p w14:paraId="7F428CCD" w14:textId="77777777" w:rsidR="00806CE9" w:rsidRPr="00806CE9" w:rsidRDefault="00806CE9" w:rsidP="0053022B">
            <w:pPr>
              <w:jc w:val="right"/>
              <w:rPr>
                <w:rFonts w:ascii="Arial" w:hAnsi="Arial" w:cs="Arial"/>
                <w:bCs/>
                <w:lang w:val="en-US"/>
              </w:rPr>
            </w:pPr>
            <w:r w:rsidRPr="00806CE9">
              <w:rPr>
                <w:rFonts w:ascii="Arial" w:hAnsi="Arial" w:cs="Arial"/>
                <w:bCs/>
                <w:lang w:val="en-US"/>
              </w:rPr>
              <w:t>42,000</w:t>
            </w:r>
          </w:p>
        </w:tc>
      </w:tr>
      <w:tr w:rsidR="00806CE9" w:rsidRPr="00806CE9" w14:paraId="0D6CB364" w14:textId="77777777" w:rsidTr="00315481">
        <w:trPr>
          <w:jc w:val="center"/>
        </w:trPr>
        <w:tc>
          <w:tcPr>
            <w:tcW w:w="1590" w:type="pct"/>
          </w:tcPr>
          <w:p w14:paraId="79954FC4" w14:textId="77777777" w:rsidR="00806CE9" w:rsidRPr="00806CE9" w:rsidRDefault="00806CE9" w:rsidP="0053022B">
            <w:pPr>
              <w:autoSpaceDE w:val="0"/>
              <w:autoSpaceDN w:val="0"/>
              <w:adjustRightInd w:val="0"/>
              <w:jc w:val="both"/>
              <w:rPr>
                <w:rFonts w:ascii="Arial" w:hAnsi="Arial" w:cs="Arial"/>
                <w:b/>
                <w:color w:val="000000"/>
              </w:rPr>
            </w:pPr>
            <w:r w:rsidRPr="00806CE9">
              <w:rPr>
                <w:rFonts w:ascii="Arial" w:hAnsi="Arial" w:cs="Arial"/>
                <w:b/>
                <w:color w:val="000000"/>
              </w:rPr>
              <w:t xml:space="preserve">Number of options vested during </w:t>
            </w:r>
            <w:r w:rsidRPr="00806CE9">
              <w:rPr>
                <w:rFonts w:ascii="Arial" w:hAnsi="Arial" w:cs="Arial"/>
                <w:b/>
              </w:rPr>
              <w:t>the year</w:t>
            </w:r>
          </w:p>
        </w:tc>
        <w:tc>
          <w:tcPr>
            <w:tcW w:w="630" w:type="pct"/>
          </w:tcPr>
          <w:p w14:paraId="7021FBD9" w14:textId="77777777" w:rsidR="00806CE9" w:rsidRPr="00806CE9" w:rsidRDefault="00806CE9" w:rsidP="0053022B">
            <w:pPr>
              <w:jc w:val="right"/>
              <w:rPr>
                <w:rFonts w:ascii="Arial" w:hAnsi="Arial" w:cs="Arial"/>
                <w:bCs/>
                <w:lang w:val="en-US"/>
              </w:rPr>
            </w:pPr>
            <w:r w:rsidRPr="00806CE9">
              <w:rPr>
                <w:rFonts w:ascii="Arial" w:hAnsi="Arial" w:cs="Arial"/>
                <w:bCs/>
                <w:lang w:val="en-US"/>
              </w:rPr>
              <w:t>Nil</w:t>
            </w:r>
          </w:p>
        </w:tc>
        <w:tc>
          <w:tcPr>
            <w:tcW w:w="630" w:type="pct"/>
          </w:tcPr>
          <w:p w14:paraId="62C7B887" w14:textId="77777777" w:rsidR="00806CE9" w:rsidRPr="00806CE9" w:rsidRDefault="00806CE9" w:rsidP="0053022B">
            <w:pPr>
              <w:jc w:val="right"/>
              <w:rPr>
                <w:rFonts w:ascii="Arial" w:hAnsi="Arial" w:cs="Arial"/>
                <w:bCs/>
                <w:lang w:val="en-US"/>
              </w:rPr>
            </w:pPr>
            <w:r w:rsidRPr="00806CE9">
              <w:rPr>
                <w:rFonts w:ascii="Arial" w:hAnsi="Arial" w:cs="Arial"/>
                <w:bCs/>
                <w:lang w:val="en-US"/>
              </w:rPr>
              <w:t>Nil</w:t>
            </w:r>
          </w:p>
        </w:tc>
        <w:tc>
          <w:tcPr>
            <w:tcW w:w="630" w:type="pct"/>
          </w:tcPr>
          <w:p w14:paraId="22FF0742" w14:textId="77777777" w:rsidR="00806CE9" w:rsidRPr="00806CE9" w:rsidRDefault="00806CE9" w:rsidP="0053022B">
            <w:pPr>
              <w:jc w:val="right"/>
              <w:rPr>
                <w:rFonts w:ascii="Arial" w:hAnsi="Arial" w:cs="Arial"/>
                <w:bCs/>
                <w:lang w:val="en-US"/>
              </w:rPr>
            </w:pPr>
            <w:r w:rsidRPr="00806CE9">
              <w:rPr>
                <w:rFonts w:ascii="Arial" w:hAnsi="Arial" w:cs="Arial"/>
                <w:bCs/>
                <w:lang w:val="en-US"/>
              </w:rPr>
              <w:t>Nil</w:t>
            </w:r>
          </w:p>
        </w:tc>
        <w:tc>
          <w:tcPr>
            <w:tcW w:w="762" w:type="pct"/>
          </w:tcPr>
          <w:p w14:paraId="2CC63E41" w14:textId="77777777" w:rsidR="00806CE9" w:rsidRPr="00806CE9" w:rsidRDefault="00806CE9" w:rsidP="0053022B">
            <w:pPr>
              <w:jc w:val="right"/>
              <w:rPr>
                <w:rFonts w:ascii="Arial" w:hAnsi="Arial" w:cs="Arial"/>
                <w:bCs/>
                <w:lang w:val="en-US"/>
              </w:rPr>
            </w:pPr>
            <w:r w:rsidRPr="00806CE9">
              <w:rPr>
                <w:rFonts w:ascii="Arial" w:hAnsi="Arial" w:cs="Arial"/>
                <w:bCs/>
                <w:lang w:val="en-US"/>
              </w:rPr>
              <w:t>Nil</w:t>
            </w:r>
          </w:p>
        </w:tc>
        <w:tc>
          <w:tcPr>
            <w:tcW w:w="758" w:type="pct"/>
          </w:tcPr>
          <w:p w14:paraId="4C4EFDD5" w14:textId="77777777" w:rsidR="00806CE9" w:rsidRPr="00806CE9" w:rsidRDefault="00806CE9" w:rsidP="0053022B">
            <w:pPr>
              <w:jc w:val="right"/>
              <w:rPr>
                <w:rFonts w:ascii="Arial" w:hAnsi="Arial" w:cs="Arial"/>
                <w:bCs/>
                <w:lang w:val="en-US"/>
              </w:rPr>
            </w:pPr>
            <w:r w:rsidRPr="00806CE9">
              <w:rPr>
                <w:rFonts w:ascii="Arial" w:hAnsi="Arial" w:cs="Arial"/>
                <w:bCs/>
                <w:lang w:val="en-US"/>
              </w:rPr>
              <w:t>Nil</w:t>
            </w:r>
          </w:p>
        </w:tc>
      </w:tr>
      <w:tr w:rsidR="00806CE9" w:rsidRPr="00806CE9" w14:paraId="4CD75BB1" w14:textId="77777777" w:rsidTr="00315481">
        <w:trPr>
          <w:jc w:val="center"/>
        </w:trPr>
        <w:tc>
          <w:tcPr>
            <w:tcW w:w="1590" w:type="pct"/>
          </w:tcPr>
          <w:p w14:paraId="1E2AC318" w14:textId="77777777" w:rsidR="00806CE9" w:rsidRPr="00806CE9" w:rsidRDefault="00806CE9" w:rsidP="0053022B">
            <w:pPr>
              <w:autoSpaceDE w:val="0"/>
              <w:autoSpaceDN w:val="0"/>
              <w:adjustRightInd w:val="0"/>
              <w:jc w:val="both"/>
              <w:rPr>
                <w:rFonts w:ascii="Arial" w:hAnsi="Arial" w:cs="Arial"/>
                <w:b/>
                <w:color w:val="000000"/>
              </w:rPr>
            </w:pPr>
            <w:r w:rsidRPr="00806CE9">
              <w:rPr>
                <w:rFonts w:ascii="Arial" w:hAnsi="Arial" w:cs="Arial"/>
                <w:b/>
                <w:color w:val="000000"/>
              </w:rPr>
              <w:t xml:space="preserve">Number of options exercised </w:t>
            </w:r>
            <w:r w:rsidRPr="00806CE9">
              <w:rPr>
                <w:rFonts w:ascii="Arial" w:hAnsi="Arial" w:cs="Arial"/>
                <w:b/>
              </w:rPr>
              <w:t>during the year</w:t>
            </w:r>
          </w:p>
        </w:tc>
        <w:tc>
          <w:tcPr>
            <w:tcW w:w="630" w:type="pct"/>
          </w:tcPr>
          <w:p w14:paraId="698B394C" w14:textId="77777777" w:rsidR="00806CE9" w:rsidRPr="00806CE9" w:rsidRDefault="00806CE9" w:rsidP="0053022B">
            <w:pPr>
              <w:jc w:val="right"/>
              <w:rPr>
                <w:rFonts w:ascii="Arial" w:hAnsi="Arial" w:cs="Arial"/>
                <w:bCs/>
                <w:lang w:val="en-US"/>
              </w:rPr>
            </w:pPr>
            <w:r w:rsidRPr="00806CE9">
              <w:rPr>
                <w:rFonts w:ascii="Arial" w:hAnsi="Arial" w:cs="Arial"/>
                <w:bCs/>
                <w:lang w:val="en-US"/>
              </w:rPr>
              <w:t>Nil</w:t>
            </w:r>
          </w:p>
        </w:tc>
        <w:tc>
          <w:tcPr>
            <w:tcW w:w="630" w:type="pct"/>
          </w:tcPr>
          <w:p w14:paraId="1D2200B0" w14:textId="77777777" w:rsidR="00806CE9" w:rsidRPr="00806CE9" w:rsidRDefault="00806CE9" w:rsidP="0053022B">
            <w:pPr>
              <w:jc w:val="right"/>
              <w:rPr>
                <w:rFonts w:ascii="Arial" w:hAnsi="Arial" w:cs="Arial"/>
                <w:bCs/>
                <w:lang w:val="en-US"/>
              </w:rPr>
            </w:pPr>
            <w:r w:rsidRPr="00806CE9">
              <w:rPr>
                <w:rFonts w:ascii="Arial" w:hAnsi="Arial" w:cs="Arial"/>
                <w:bCs/>
                <w:lang w:val="en-US"/>
              </w:rPr>
              <w:t>Nil</w:t>
            </w:r>
          </w:p>
        </w:tc>
        <w:tc>
          <w:tcPr>
            <w:tcW w:w="630" w:type="pct"/>
          </w:tcPr>
          <w:p w14:paraId="3C811EE1" w14:textId="77777777" w:rsidR="00806CE9" w:rsidRPr="00806CE9" w:rsidRDefault="00806CE9" w:rsidP="0053022B">
            <w:pPr>
              <w:jc w:val="right"/>
              <w:rPr>
                <w:rFonts w:ascii="Arial" w:hAnsi="Arial" w:cs="Arial"/>
                <w:bCs/>
                <w:lang w:val="en-US"/>
              </w:rPr>
            </w:pPr>
            <w:r w:rsidRPr="00806CE9">
              <w:rPr>
                <w:rFonts w:ascii="Arial" w:hAnsi="Arial" w:cs="Arial"/>
                <w:bCs/>
                <w:lang w:val="en-US"/>
              </w:rPr>
              <w:t>Nil</w:t>
            </w:r>
          </w:p>
        </w:tc>
        <w:tc>
          <w:tcPr>
            <w:tcW w:w="762" w:type="pct"/>
          </w:tcPr>
          <w:p w14:paraId="408A6765" w14:textId="77777777" w:rsidR="00806CE9" w:rsidRPr="00806CE9" w:rsidRDefault="00806CE9" w:rsidP="0053022B">
            <w:pPr>
              <w:jc w:val="right"/>
              <w:rPr>
                <w:rFonts w:ascii="Arial" w:hAnsi="Arial" w:cs="Arial"/>
                <w:bCs/>
                <w:lang w:val="en-US"/>
              </w:rPr>
            </w:pPr>
            <w:r w:rsidRPr="00806CE9">
              <w:rPr>
                <w:rFonts w:ascii="Arial" w:hAnsi="Arial" w:cs="Arial"/>
                <w:bCs/>
                <w:lang w:val="en-US"/>
              </w:rPr>
              <w:t>Nil</w:t>
            </w:r>
          </w:p>
        </w:tc>
        <w:tc>
          <w:tcPr>
            <w:tcW w:w="758" w:type="pct"/>
          </w:tcPr>
          <w:p w14:paraId="18AD5660" w14:textId="77777777" w:rsidR="00806CE9" w:rsidRPr="00806CE9" w:rsidRDefault="00806CE9" w:rsidP="0053022B">
            <w:pPr>
              <w:jc w:val="right"/>
              <w:rPr>
                <w:rFonts w:ascii="Arial" w:hAnsi="Arial" w:cs="Arial"/>
                <w:bCs/>
                <w:lang w:val="en-US"/>
              </w:rPr>
            </w:pPr>
            <w:r w:rsidRPr="00806CE9">
              <w:rPr>
                <w:rFonts w:ascii="Arial" w:hAnsi="Arial" w:cs="Arial"/>
                <w:bCs/>
                <w:lang w:val="en-US"/>
              </w:rPr>
              <w:t>Nil</w:t>
            </w:r>
          </w:p>
        </w:tc>
      </w:tr>
      <w:tr w:rsidR="00806CE9" w:rsidRPr="00806CE9" w14:paraId="7442E89E" w14:textId="77777777" w:rsidTr="00315481">
        <w:trPr>
          <w:jc w:val="center"/>
        </w:trPr>
        <w:tc>
          <w:tcPr>
            <w:tcW w:w="1590" w:type="pct"/>
          </w:tcPr>
          <w:p w14:paraId="7CE585B1" w14:textId="77777777" w:rsidR="00806CE9" w:rsidRPr="00806CE9" w:rsidRDefault="00806CE9" w:rsidP="0053022B">
            <w:pPr>
              <w:autoSpaceDE w:val="0"/>
              <w:autoSpaceDN w:val="0"/>
              <w:adjustRightInd w:val="0"/>
              <w:jc w:val="both"/>
              <w:rPr>
                <w:rFonts w:ascii="Arial" w:hAnsi="Arial" w:cs="Arial"/>
                <w:b/>
                <w:color w:val="000000"/>
              </w:rPr>
            </w:pPr>
            <w:r w:rsidRPr="00806CE9">
              <w:rPr>
                <w:rFonts w:ascii="Arial" w:hAnsi="Arial" w:cs="Arial"/>
                <w:b/>
                <w:color w:val="000000"/>
              </w:rPr>
              <w:t xml:space="preserve">Number of options outstanding at </w:t>
            </w:r>
            <w:r w:rsidRPr="00806CE9">
              <w:rPr>
                <w:rFonts w:ascii="Arial" w:hAnsi="Arial" w:cs="Arial"/>
                <w:b/>
              </w:rPr>
              <w:t>the end of the year</w:t>
            </w:r>
          </w:p>
        </w:tc>
        <w:tc>
          <w:tcPr>
            <w:tcW w:w="630" w:type="pct"/>
          </w:tcPr>
          <w:p w14:paraId="0C46C2D4" w14:textId="77777777" w:rsidR="00806CE9" w:rsidRPr="00806CE9" w:rsidRDefault="00806CE9" w:rsidP="0053022B">
            <w:pPr>
              <w:jc w:val="right"/>
              <w:rPr>
                <w:rFonts w:ascii="Arial" w:hAnsi="Arial" w:cs="Arial"/>
                <w:bCs/>
                <w:lang w:val="en-US"/>
              </w:rPr>
            </w:pPr>
            <w:r w:rsidRPr="00806CE9">
              <w:rPr>
                <w:rFonts w:ascii="Arial" w:hAnsi="Arial" w:cs="Arial"/>
                <w:bCs/>
                <w:lang w:val="en-US"/>
              </w:rPr>
              <w:t>1,57,500</w:t>
            </w:r>
          </w:p>
        </w:tc>
        <w:tc>
          <w:tcPr>
            <w:tcW w:w="630" w:type="pct"/>
          </w:tcPr>
          <w:p w14:paraId="11ACE54F" w14:textId="77777777" w:rsidR="00806CE9" w:rsidRPr="00806CE9" w:rsidRDefault="00806CE9" w:rsidP="0053022B">
            <w:pPr>
              <w:jc w:val="right"/>
              <w:rPr>
                <w:rFonts w:ascii="Arial" w:hAnsi="Arial" w:cs="Arial"/>
                <w:bCs/>
                <w:lang w:val="en-US"/>
              </w:rPr>
            </w:pPr>
            <w:r w:rsidRPr="00806CE9">
              <w:rPr>
                <w:rFonts w:ascii="Arial" w:hAnsi="Arial" w:cs="Arial"/>
                <w:bCs/>
                <w:lang w:val="en-US"/>
              </w:rPr>
              <w:t>72,000</w:t>
            </w:r>
          </w:p>
        </w:tc>
        <w:tc>
          <w:tcPr>
            <w:tcW w:w="630" w:type="pct"/>
          </w:tcPr>
          <w:p w14:paraId="30E5B435" w14:textId="77777777" w:rsidR="00806CE9" w:rsidRPr="00806CE9" w:rsidRDefault="00806CE9" w:rsidP="0053022B">
            <w:pPr>
              <w:jc w:val="right"/>
              <w:rPr>
                <w:rFonts w:ascii="Arial" w:hAnsi="Arial" w:cs="Arial"/>
                <w:bCs/>
                <w:lang w:val="en-US"/>
              </w:rPr>
            </w:pPr>
            <w:r w:rsidRPr="00806CE9">
              <w:rPr>
                <w:rFonts w:ascii="Arial" w:hAnsi="Arial" w:cs="Arial"/>
                <w:bCs/>
                <w:lang w:val="en-US"/>
              </w:rPr>
              <w:t>2,69,000</w:t>
            </w:r>
          </w:p>
        </w:tc>
        <w:tc>
          <w:tcPr>
            <w:tcW w:w="762" w:type="pct"/>
          </w:tcPr>
          <w:p w14:paraId="773F2B0B" w14:textId="77777777" w:rsidR="00806CE9" w:rsidRPr="00806CE9" w:rsidRDefault="00806CE9" w:rsidP="0053022B">
            <w:pPr>
              <w:jc w:val="right"/>
              <w:rPr>
                <w:rFonts w:ascii="Arial" w:hAnsi="Arial" w:cs="Arial"/>
                <w:bCs/>
                <w:lang w:val="en-US"/>
              </w:rPr>
            </w:pPr>
            <w:r w:rsidRPr="00806CE9">
              <w:rPr>
                <w:rFonts w:ascii="Arial" w:hAnsi="Arial" w:cs="Arial"/>
                <w:bCs/>
                <w:lang w:val="en-US"/>
              </w:rPr>
              <w:t>2,46,000</w:t>
            </w:r>
          </w:p>
        </w:tc>
        <w:tc>
          <w:tcPr>
            <w:tcW w:w="758" w:type="pct"/>
          </w:tcPr>
          <w:p w14:paraId="4D634460" w14:textId="77777777" w:rsidR="00806CE9" w:rsidRPr="00806CE9" w:rsidRDefault="00806CE9" w:rsidP="0053022B">
            <w:pPr>
              <w:jc w:val="right"/>
              <w:rPr>
                <w:rFonts w:ascii="Arial" w:hAnsi="Arial" w:cs="Arial"/>
                <w:bCs/>
                <w:lang w:val="en-US"/>
              </w:rPr>
            </w:pPr>
            <w:r w:rsidRPr="00806CE9">
              <w:rPr>
                <w:rFonts w:ascii="Arial" w:hAnsi="Arial" w:cs="Arial"/>
                <w:bCs/>
                <w:lang w:val="en-US"/>
              </w:rPr>
              <w:t>5,23,000</w:t>
            </w:r>
          </w:p>
        </w:tc>
      </w:tr>
    </w:tbl>
    <w:p w14:paraId="45E2FC1F" w14:textId="29465A24" w:rsidR="00806CE9" w:rsidRDefault="00806CE9" w:rsidP="00806CE9">
      <w:pPr>
        <w:rPr>
          <w:rFonts w:ascii="Arial" w:hAnsi="Arial" w:cs="Arial"/>
          <w:sz w:val="22"/>
          <w:szCs w:val="22"/>
          <w:highlight w:val="yellow"/>
        </w:rPr>
      </w:pPr>
    </w:p>
    <w:p w14:paraId="0AFCD50C" w14:textId="2085E928" w:rsidR="00315481" w:rsidRDefault="00315481" w:rsidP="00806CE9">
      <w:pPr>
        <w:rPr>
          <w:rFonts w:ascii="Arial" w:hAnsi="Arial" w:cs="Arial"/>
          <w:sz w:val="22"/>
          <w:szCs w:val="22"/>
          <w:highlight w:val="yellow"/>
        </w:rPr>
      </w:pPr>
    </w:p>
    <w:p w14:paraId="4C4E550F" w14:textId="7421FCC2" w:rsidR="00315481" w:rsidRDefault="00315481" w:rsidP="00806CE9">
      <w:pPr>
        <w:rPr>
          <w:rFonts w:ascii="Arial" w:hAnsi="Arial" w:cs="Arial"/>
          <w:sz w:val="22"/>
          <w:szCs w:val="22"/>
          <w:highlight w:val="yellow"/>
        </w:rPr>
      </w:pPr>
    </w:p>
    <w:p w14:paraId="56EA9649" w14:textId="00945972" w:rsidR="00315481" w:rsidRDefault="00315481" w:rsidP="00806CE9">
      <w:pPr>
        <w:rPr>
          <w:rFonts w:ascii="Arial" w:hAnsi="Arial" w:cs="Arial"/>
          <w:sz w:val="22"/>
          <w:szCs w:val="22"/>
          <w:highlight w:val="yellow"/>
        </w:rPr>
      </w:pPr>
    </w:p>
    <w:p w14:paraId="5638259B" w14:textId="77777777" w:rsidR="00315481" w:rsidRDefault="00315481" w:rsidP="00806CE9">
      <w:pPr>
        <w:rPr>
          <w:rFonts w:ascii="Arial" w:hAnsi="Arial" w:cs="Arial"/>
          <w:sz w:val="22"/>
          <w:szCs w:val="22"/>
          <w:highlight w:val="yellow"/>
        </w:rPr>
      </w:pPr>
    </w:p>
    <w:p w14:paraId="2FEEFB84" w14:textId="77777777" w:rsidR="00806CE9" w:rsidRPr="00806CE9" w:rsidRDefault="00806CE9" w:rsidP="00806CE9">
      <w:pPr>
        <w:pStyle w:val="ListParagraph"/>
        <w:numPr>
          <w:ilvl w:val="0"/>
          <w:numId w:val="16"/>
        </w:numPr>
        <w:suppressAutoHyphens w:val="0"/>
        <w:ind w:left="720"/>
        <w:contextualSpacing/>
        <w:jc w:val="both"/>
        <w:rPr>
          <w:rFonts w:ascii="Arial" w:hAnsi="Arial" w:cs="Arial"/>
          <w:sz w:val="22"/>
          <w:szCs w:val="22"/>
        </w:rPr>
      </w:pPr>
      <w:r w:rsidRPr="00806CE9">
        <w:rPr>
          <w:rFonts w:ascii="Arial" w:hAnsi="Arial" w:cs="Arial"/>
          <w:sz w:val="22"/>
          <w:szCs w:val="22"/>
        </w:rPr>
        <w:t>SEBI vide Notification SEBI/LAD-NRO/GN/2021/40 dated August 13, 2021 repealed SEBI (Share Based Employee Benefit) Regulations, 2014 (the “</w:t>
      </w:r>
      <w:r w:rsidRPr="00806CE9">
        <w:rPr>
          <w:rFonts w:ascii="Arial" w:hAnsi="Arial" w:cs="Arial"/>
          <w:b/>
          <w:bCs/>
          <w:sz w:val="22"/>
          <w:szCs w:val="22"/>
        </w:rPr>
        <w:t>erstwhile SEBI SBEB Regulations</w:t>
      </w:r>
      <w:r w:rsidRPr="00806CE9">
        <w:rPr>
          <w:rFonts w:ascii="Arial" w:hAnsi="Arial" w:cs="Arial"/>
          <w:sz w:val="22"/>
          <w:szCs w:val="22"/>
        </w:rPr>
        <w:t>”) and introduced SEBI (Share Based Employee Benefits and Sweat Equity) Regulations, 2021 (the “</w:t>
      </w:r>
      <w:r w:rsidRPr="00806CE9">
        <w:rPr>
          <w:rFonts w:ascii="Arial" w:hAnsi="Arial" w:cs="Arial"/>
          <w:b/>
          <w:bCs/>
          <w:sz w:val="22"/>
          <w:szCs w:val="22"/>
        </w:rPr>
        <w:t>SEBI SBEB Regulations</w:t>
      </w:r>
      <w:r w:rsidRPr="00806CE9">
        <w:rPr>
          <w:rFonts w:ascii="Arial" w:hAnsi="Arial" w:cs="Arial"/>
          <w:sz w:val="22"/>
          <w:szCs w:val="22"/>
        </w:rPr>
        <w:t>”)</w:t>
      </w:r>
    </w:p>
    <w:p w14:paraId="7E33D103" w14:textId="77777777" w:rsidR="00806CE9" w:rsidRPr="00806CE9" w:rsidRDefault="00806CE9" w:rsidP="00806CE9">
      <w:pPr>
        <w:jc w:val="both"/>
        <w:rPr>
          <w:rFonts w:ascii="Arial" w:hAnsi="Arial" w:cs="Arial"/>
          <w:sz w:val="22"/>
          <w:szCs w:val="22"/>
        </w:rPr>
      </w:pPr>
    </w:p>
    <w:p w14:paraId="24E66D08" w14:textId="77777777" w:rsidR="00806CE9" w:rsidRPr="00806CE9" w:rsidRDefault="00806CE9" w:rsidP="00806CE9">
      <w:pPr>
        <w:pStyle w:val="ListParagraph"/>
        <w:numPr>
          <w:ilvl w:val="0"/>
          <w:numId w:val="14"/>
        </w:numPr>
        <w:suppressAutoHyphens w:val="0"/>
        <w:contextualSpacing/>
        <w:jc w:val="both"/>
        <w:rPr>
          <w:rFonts w:ascii="Arial" w:hAnsi="Arial" w:cs="Arial"/>
          <w:b/>
          <w:sz w:val="22"/>
          <w:szCs w:val="22"/>
          <w:u w:val="single"/>
        </w:rPr>
      </w:pPr>
      <w:r w:rsidRPr="00806CE9">
        <w:rPr>
          <w:rFonts w:ascii="Arial" w:hAnsi="Arial" w:cs="Arial"/>
          <w:b/>
          <w:sz w:val="22"/>
          <w:szCs w:val="22"/>
          <w:u w:val="single"/>
        </w:rPr>
        <w:t>Requirements of obtaining in-</w:t>
      </w:r>
      <w:proofErr w:type="gramStart"/>
      <w:r w:rsidRPr="00806CE9">
        <w:rPr>
          <w:rFonts w:ascii="Arial" w:hAnsi="Arial" w:cs="Arial"/>
          <w:b/>
          <w:sz w:val="22"/>
          <w:szCs w:val="22"/>
          <w:u w:val="single"/>
        </w:rPr>
        <w:t>principle</w:t>
      </w:r>
      <w:proofErr w:type="gramEnd"/>
      <w:r w:rsidRPr="00806CE9">
        <w:rPr>
          <w:rFonts w:ascii="Arial" w:hAnsi="Arial" w:cs="Arial"/>
          <w:b/>
          <w:sz w:val="22"/>
          <w:szCs w:val="22"/>
          <w:u w:val="single"/>
        </w:rPr>
        <w:t xml:space="preserve"> approval of the recognized stock exchange pursuant to Regulation 12(3) of SEBI SBEB Regulations and erstwhile SEBI SBEB Regulations</w:t>
      </w:r>
    </w:p>
    <w:p w14:paraId="36F19902" w14:textId="77777777" w:rsidR="00806CE9" w:rsidRPr="00806CE9" w:rsidRDefault="00806CE9" w:rsidP="00806CE9">
      <w:pPr>
        <w:pStyle w:val="ListParagraph"/>
        <w:jc w:val="both"/>
        <w:rPr>
          <w:rFonts w:ascii="Arial" w:hAnsi="Arial" w:cs="Arial"/>
          <w:b/>
          <w:sz w:val="22"/>
          <w:szCs w:val="22"/>
          <w:u w:val="single"/>
        </w:rPr>
      </w:pPr>
    </w:p>
    <w:p w14:paraId="79A7EB0F" w14:textId="77777777" w:rsidR="00776853" w:rsidRPr="00776853" w:rsidRDefault="00806CE9" w:rsidP="00806CE9">
      <w:pPr>
        <w:pStyle w:val="ListParagraph"/>
        <w:numPr>
          <w:ilvl w:val="0"/>
          <w:numId w:val="17"/>
        </w:numPr>
        <w:suppressAutoHyphens w:val="0"/>
        <w:ind w:left="720"/>
        <w:contextualSpacing/>
        <w:jc w:val="both"/>
        <w:rPr>
          <w:rFonts w:ascii="Arial" w:hAnsi="Arial" w:cs="Arial"/>
          <w:b/>
          <w:sz w:val="22"/>
          <w:szCs w:val="22"/>
          <w:u w:val="single"/>
        </w:rPr>
      </w:pPr>
      <w:r w:rsidRPr="00806CE9">
        <w:rPr>
          <w:rFonts w:ascii="Arial" w:hAnsi="Arial" w:cs="Arial"/>
          <w:sz w:val="22"/>
          <w:szCs w:val="22"/>
        </w:rPr>
        <w:t xml:space="preserve">The Company had implemented the </w:t>
      </w:r>
      <w:r w:rsidRPr="00806CE9">
        <w:rPr>
          <w:rFonts w:ascii="Arial" w:hAnsi="Arial" w:cs="Arial"/>
          <w:bCs/>
          <w:sz w:val="22"/>
          <w:szCs w:val="22"/>
        </w:rPr>
        <w:t xml:space="preserve">Scheme under the erstwhile </w:t>
      </w:r>
      <w:r w:rsidRPr="00806CE9">
        <w:rPr>
          <w:rFonts w:ascii="Arial" w:hAnsi="Arial" w:cs="Arial"/>
          <w:sz w:val="22"/>
          <w:szCs w:val="22"/>
        </w:rPr>
        <w:t>SEBI SBEB Regulations</w:t>
      </w:r>
      <w:r w:rsidRPr="00806CE9">
        <w:rPr>
          <w:rFonts w:ascii="Arial" w:hAnsi="Arial" w:cs="Arial"/>
          <w:bCs/>
          <w:sz w:val="22"/>
          <w:szCs w:val="22"/>
        </w:rPr>
        <w:t xml:space="preserve"> wherein the </w:t>
      </w:r>
      <w:r w:rsidRPr="00806CE9">
        <w:rPr>
          <w:rFonts w:ascii="Arial" w:hAnsi="Arial" w:cs="Arial"/>
          <w:sz w:val="22"/>
          <w:szCs w:val="22"/>
        </w:rPr>
        <w:t>Company was required to obtain in-</w:t>
      </w:r>
      <w:proofErr w:type="gramStart"/>
      <w:r w:rsidRPr="00806CE9">
        <w:rPr>
          <w:rFonts w:ascii="Arial" w:hAnsi="Arial" w:cs="Arial"/>
          <w:sz w:val="22"/>
          <w:szCs w:val="22"/>
        </w:rPr>
        <w:t>principle</w:t>
      </w:r>
      <w:proofErr w:type="gramEnd"/>
      <w:r w:rsidRPr="00806CE9">
        <w:rPr>
          <w:rFonts w:ascii="Arial" w:hAnsi="Arial" w:cs="Arial"/>
          <w:sz w:val="22"/>
          <w:szCs w:val="22"/>
        </w:rPr>
        <w:t xml:space="preserve"> approval from stock exchanges </w:t>
      </w:r>
      <w:proofErr w:type="spellStart"/>
      <w:r w:rsidRPr="00806CE9">
        <w:rPr>
          <w:rFonts w:ascii="Arial" w:hAnsi="Arial" w:cs="Arial"/>
          <w:sz w:val="22"/>
          <w:szCs w:val="22"/>
        </w:rPr>
        <w:t>anytime</w:t>
      </w:r>
      <w:proofErr w:type="spellEnd"/>
      <w:r w:rsidRPr="00806CE9">
        <w:rPr>
          <w:rFonts w:ascii="Arial" w:hAnsi="Arial" w:cs="Arial"/>
          <w:sz w:val="22"/>
          <w:szCs w:val="22"/>
        </w:rPr>
        <w:t xml:space="preserve"> prior to the exercise of options. </w:t>
      </w:r>
      <w:r w:rsidR="001D4FBF">
        <w:rPr>
          <w:rFonts w:ascii="Arial" w:hAnsi="Arial" w:cs="Arial"/>
          <w:sz w:val="22"/>
          <w:szCs w:val="22"/>
        </w:rPr>
        <w:t xml:space="preserve">The first two </w:t>
      </w:r>
      <w:r w:rsidR="001D4FBF" w:rsidRPr="00806CE9">
        <w:rPr>
          <w:rFonts w:ascii="Arial" w:hAnsi="Arial" w:cs="Arial"/>
          <w:sz w:val="22"/>
          <w:szCs w:val="22"/>
        </w:rPr>
        <w:t>grants made on 25</w:t>
      </w:r>
      <w:r w:rsidR="001D4FBF" w:rsidRPr="00806CE9">
        <w:rPr>
          <w:rFonts w:ascii="Arial" w:hAnsi="Arial" w:cs="Arial"/>
          <w:sz w:val="22"/>
          <w:szCs w:val="22"/>
          <w:vertAlign w:val="superscript"/>
        </w:rPr>
        <w:t>th</w:t>
      </w:r>
      <w:r w:rsidR="001D4FBF" w:rsidRPr="00806CE9">
        <w:rPr>
          <w:rFonts w:ascii="Arial" w:hAnsi="Arial" w:cs="Arial"/>
          <w:sz w:val="22"/>
          <w:szCs w:val="22"/>
        </w:rPr>
        <w:t xml:space="preserve"> January 2018 and 10</w:t>
      </w:r>
      <w:r w:rsidR="001D4FBF" w:rsidRPr="00806CE9">
        <w:rPr>
          <w:rFonts w:ascii="Arial" w:hAnsi="Arial" w:cs="Arial"/>
          <w:sz w:val="22"/>
          <w:szCs w:val="22"/>
          <w:vertAlign w:val="superscript"/>
        </w:rPr>
        <w:t>th</w:t>
      </w:r>
      <w:r w:rsidR="001D4FBF" w:rsidRPr="00806CE9">
        <w:rPr>
          <w:rFonts w:ascii="Arial" w:hAnsi="Arial" w:cs="Arial"/>
          <w:sz w:val="22"/>
          <w:szCs w:val="22"/>
        </w:rPr>
        <w:t xml:space="preserve"> August 2019 respectively were granted prior to the amendment in the regulations hence there was no need of obtaining In-Principal Approval of Stock Exchange prior to granting these options under ESOP Scheme-2017.</w:t>
      </w:r>
      <w:r w:rsidR="001D4FBF">
        <w:rPr>
          <w:rFonts w:ascii="Arial" w:hAnsi="Arial" w:cs="Arial"/>
          <w:sz w:val="22"/>
          <w:szCs w:val="22"/>
        </w:rPr>
        <w:t xml:space="preserve"> </w:t>
      </w:r>
    </w:p>
    <w:p w14:paraId="04B985EB" w14:textId="77777777" w:rsidR="00776853" w:rsidRPr="00776853" w:rsidRDefault="00776853" w:rsidP="00776853">
      <w:pPr>
        <w:pStyle w:val="ListParagraph"/>
        <w:suppressAutoHyphens w:val="0"/>
        <w:contextualSpacing/>
        <w:jc w:val="both"/>
        <w:rPr>
          <w:rFonts w:ascii="Arial" w:hAnsi="Arial" w:cs="Arial"/>
          <w:b/>
          <w:sz w:val="22"/>
          <w:szCs w:val="22"/>
          <w:u w:val="single"/>
        </w:rPr>
      </w:pPr>
    </w:p>
    <w:p w14:paraId="6D87B80B" w14:textId="39F19A4E" w:rsidR="00806CE9" w:rsidRPr="00806CE9" w:rsidRDefault="001D4FBF" w:rsidP="00776853">
      <w:pPr>
        <w:pStyle w:val="ListParagraph"/>
        <w:suppressAutoHyphens w:val="0"/>
        <w:contextualSpacing/>
        <w:jc w:val="both"/>
        <w:rPr>
          <w:rFonts w:ascii="Arial" w:hAnsi="Arial" w:cs="Arial"/>
          <w:b/>
          <w:sz w:val="22"/>
          <w:szCs w:val="22"/>
          <w:u w:val="single"/>
        </w:rPr>
      </w:pPr>
      <w:r>
        <w:rPr>
          <w:rFonts w:ascii="Arial" w:hAnsi="Arial" w:cs="Arial"/>
          <w:sz w:val="22"/>
          <w:szCs w:val="22"/>
        </w:rPr>
        <w:t xml:space="preserve">Further, since the Scheme was approved under the </w:t>
      </w:r>
      <w:r w:rsidRPr="00806CE9">
        <w:rPr>
          <w:rFonts w:ascii="Arial" w:hAnsi="Arial" w:cs="Arial"/>
          <w:bCs/>
          <w:sz w:val="22"/>
          <w:szCs w:val="22"/>
        </w:rPr>
        <w:t xml:space="preserve">erstwhile </w:t>
      </w:r>
      <w:r w:rsidRPr="00806CE9">
        <w:rPr>
          <w:rFonts w:ascii="Arial" w:hAnsi="Arial" w:cs="Arial"/>
          <w:sz w:val="22"/>
          <w:szCs w:val="22"/>
        </w:rPr>
        <w:t>SEBI SBEB Regulations</w:t>
      </w:r>
      <w:r w:rsidR="00806CE9" w:rsidRPr="00806CE9">
        <w:rPr>
          <w:rFonts w:ascii="Arial" w:hAnsi="Arial" w:cs="Arial"/>
          <w:sz w:val="22"/>
          <w:szCs w:val="22"/>
        </w:rPr>
        <w:t xml:space="preserve">, the Company had </w:t>
      </w:r>
      <w:r>
        <w:rPr>
          <w:rFonts w:ascii="Arial" w:hAnsi="Arial" w:cs="Arial"/>
          <w:sz w:val="22"/>
          <w:szCs w:val="22"/>
        </w:rPr>
        <w:t xml:space="preserve">also </w:t>
      </w:r>
      <w:r w:rsidR="00806CE9" w:rsidRPr="00806CE9">
        <w:rPr>
          <w:rFonts w:ascii="Arial" w:hAnsi="Arial" w:cs="Arial"/>
          <w:sz w:val="22"/>
          <w:szCs w:val="22"/>
        </w:rPr>
        <w:t xml:space="preserve">made </w:t>
      </w:r>
      <w:r>
        <w:rPr>
          <w:rFonts w:ascii="Arial" w:hAnsi="Arial" w:cs="Arial"/>
          <w:sz w:val="22"/>
          <w:szCs w:val="22"/>
        </w:rPr>
        <w:t xml:space="preserve">bona fide </w:t>
      </w:r>
      <w:r w:rsidR="00806CE9" w:rsidRPr="00806CE9">
        <w:rPr>
          <w:rFonts w:ascii="Arial" w:hAnsi="Arial" w:cs="Arial"/>
          <w:sz w:val="22"/>
          <w:szCs w:val="22"/>
        </w:rPr>
        <w:t>grant of options on 29</w:t>
      </w:r>
      <w:r w:rsidR="00806CE9" w:rsidRPr="00806CE9">
        <w:rPr>
          <w:rFonts w:ascii="Arial" w:hAnsi="Arial" w:cs="Arial"/>
          <w:sz w:val="22"/>
          <w:szCs w:val="22"/>
          <w:vertAlign w:val="superscript"/>
        </w:rPr>
        <w:t>th</w:t>
      </w:r>
      <w:r w:rsidR="00806CE9" w:rsidRPr="00806CE9">
        <w:rPr>
          <w:rFonts w:ascii="Arial" w:hAnsi="Arial" w:cs="Arial"/>
          <w:sz w:val="22"/>
          <w:szCs w:val="22"/>
        </w:rPr>
        <w:t xml:space="preserve"> October 2021</w:t>
      </w:r>
      <w:r>
        <w:rPr>
          <w:rFonts w:ascii="Arial" w:hAnsi="Arial" w:cs="Arial"/>
          <w:sz w:val="22"/>
          <w:szCs w:val="22"/>
        </w:rPr>
        <w:t xml:space="preserve">, </w:t>
      </w:r>
      <w:r w:rsidRPr="00806CE9">
        <w:rPr>
          <w:rFonts w:ascii="Arial" w:hAnsi="Arial" w:cs="Arial"/>
          <w:sz w:val="22"/>
          <w:szCs w:val="22"/>
        </w:rPr>
        <w:t>as detailed in Para 2(b) above</w:t>
      </w:r>
      <w:r w:rsidR="00806CE9" w:rsidRPr="00806CE9">
        <w:rPr>
          <w:rFonts w:ascii="Arial" w:hAnsi="Arial" w:cs="Arial"/>
          <w:sz w:val="22"/>
          <w:szCs w:val="22"/>
        </w:rPr>
        <w:t xml:space="preserve">. </w:t>
      </w:r>
    </w:p>
    <w:p w14:paraId="0AAC616E" w14:textId="77777777" w:rsidR="00806CE9" w:rsidRPr="00806CE9" w:rsidRDefault="00806CE9" w:rsidP="00806CE9">
      <w:pPr>
        <w:pStyle w:val="ListParagraph"/>
        <w:jc w:val="both"/>
        <w:rPr>
          <w:rFonts w:ascii="Arial" w:hAnsi="Arial" w:cs="Arial"/>
          <w:b/>
          <w:sz w:val="22"/>
          <w:szCs w:val="22"/>
          <w:u w:val="single"/>
        </w:rPr>
      </w:pPr>
    </w:p>
    <w:p w14:paraId="12226DF0" w14:textId="77777777" w:rsidR="00806CE9" w:rsidRPr="00806CE9" w:rsidRDefault="00806CE9" w:rsidP="00806CE9">
      <w:pPr>
        <w:pStyle w:val="ListParagraph"/>
        <w:numPr>
          <w:ilvl w:val="0"/>
          <w:numId w:val="17"/>
        </w:numPr>
        <w:suppressAutoHyphens w:val="0"/>
        <w:ind w:left="720"/>
        <w:contextualSpacing/>
        <w:jc w:val="both"/>
        <w:rPr>
          <w:rFonts w:ascii="Arial" w:hAnsi="Arial" w:cs="Arial"/>
          <w:bCs/>
          <w:sz w:val="22"/>
          <w:szCs w:val="22"/>
        </w:rPr>
      </w:pPr>
      <w:r w:rsidRPr="00806CE9">
        <w:rPr>
          <w:rFonts w:ascii="Arial" w:hAnsi="Arial" w:cs="Arial"/>
          <w:bCs/>
          <w:sz w:val="22"/>
          <w:szCs w:val="22"/>
        </w:rPr>
        <w:t>The in-</w:t>
      </w:r>
      <w:proofErr w:type="gramStart"/>
      <w:r w:rsidRPr="00806CE9">
        <w:rPr>
          <w:rFonts w:ascii="Arial" w:hAnsi="Arial" w:cs="Arial"/>
          <w:bCs/>
          <w:sz w:val="22"/>
          <w:szCs w:val="22"/>
        </w:rPr>
        <w:t>principle</w:t>
      </w:r>
      <w:proofErr w:type="gramEnd"/>
      <w:r w:rsidRPr="00806CE9">
        <w:rPr>
          <w:rFonts w:ascii="Arial" w:hAnsi="Arial" w:cs="Arial"/>
          <w:bCs/>
          <w:sz w:val="22"/>
          <w:szCs w:val="22"/>
        </w:rPr>
        <w:t xml:space="preserve"> approval for listing of 12,71,309 equity shares reserved under the Scheme is yet to be applied.</w:t>
      </w:r>
    </w:p>
    <w:p w14:paraId="4DE053C6" w14:textId="77777777" w:rsidR="00806CE9" w:rsidRPr="00806CE9" w:rsidRDefault="00806CE9" w:rsidP="00806CE9">
      <w:pPr>
        <w:pStyle w:val="ListParagraph"/>
        <w:jc w:val="both"/>
        <w:rPr>
          <w:rFonts w:ascii="Arial" w:hAnsi="Arial" w:cs="Arial"/>
          <w:b/>
          <w:sz w:val="22"/>
          <w:szCs w:val="22"/>
          <w:u w:val="single"/>
        </w:rPr>
      </w:pPr>
    </w:p>
    <w:p w14:paraId="31FAA6A0" w14:textId="77777777" w:rsidR="00806CE9" w:rsidRPr="00806CE9" w:rsidRDefault="00806CE9" w:rsidP="00806CE9">
      <w:pPr>
        <w:pStyle w:val="ListParagraph"/>
        <w:numPr>
          <w:ilvl w:val="0"/>
          <w:numId w:val="17"/>
        </w:numPr>
        <w:suppressAutoHyphens w:val="0"/>
        <w:ind w:left="720"/>
        <w:contextualSpacing/>
        <w:jc w:val="both"/>
        <w:rPr>
          <w:rFonts w:ascii="Arial" w:hAnsi="Arial" w:cs="Arial"/>
          <w:sz w:val="22"/>
          <w:szCs w:val="22"/>
        </w:rPr>
      </w:pPr>
      <w:r w:rsidRPr="00806CE9">
        <w:rPr>
          <w:rFonts w:ascii="Arial" w:hAnsi="Arial" w:cs="Arial"/>
          <w:sz w:val="22"/>
          <w:szCs w:val="22"/>
        </w:rPr>
        <w:t xml:space="preserve">Thereafter, the </w:t>
      </w:r>
      <w:r w:rsidRPr="00806CE9">
        <w:rPr>
          <w:rFonts w:ascii="Arial" w:hAnsi="Arial" w:cs="Arial"/>
          <w:bCs/>
          <w:sz w:val="22"/>
          <w:szCs w:val="22"/>
        </w:rPr>
        <w:t xml:space="preserve">erstwhile </w:t>
      </w:r>
      <w:r w:rsidRPr="00806CE9">
        <w:rPr>
          <w:rFonts w:ascii="Arial" w:hAnsi="Arial" w:cs="Arial"/>
          <w:sz w:val="22"/>
          <w:szCs w:val="22"/>
        </w:rPr>
        <w:t>SEBI SBEB Regulations</w:t>
      </w:r>
      <w:r w:rsidRPr="00806CE9">
        <w:rPr>
          <w:rFonts w:ascii="Arial" w:hAnsi="Arial" w:cs="Arial"/>
          <w:bCs/>
          <w:sz w:val="22"/>
          <w:szCs w:val="22"/>
        </w:rPr>
        <w:t xml:space="preserve"> were repealed and were </w:t>
      </w:r>
      <w:r w:rsidRPr="00806CE9">
        <w:rPr>
          <w:rFonts w:ascii="Arial" w:hAnsi="Arial" w:cs="Arial"/>
          <w:sz w:val="22"/>
          <w:szCs w:val="22"/>
        </w:rPr>
        <w:t>replaced by the SEBI SBEB Regulations.</w:t>
      </w:r>
    </w:p>
    <w:p w14:paraId="77D71DD7" w14:textId="77777777" w:rsidR="00806CE9" w:rsidRPr="00806CE9" w:rsidRDefault="00806CE9" w:rsidP="00806CE9">
      <w:pPr>
        <w:pStyle w:val="ListParagraph"/>
        <w:rPr>
          <w:rFonts w:ascii="Arial" w:hAnsi="Arial" w:cs="Arial"/>
          <w:sz w:val="22"/>
          <w:szCs w:val="22"/>
        </w:rPr>
      </w:pPr>
    </w:p>
    <w:p w14:paraId="12A0B985" w14:textId="77777777" w:rsidR="00806CE9" w:rsidRPr="00806CE9" w:rsidRDefault="00806CE9" w:rsidP="00806CE9">
      <w:pPr>
        <w:pStyle w:val="ListParagraph"/>
        <w:numPr>
          <w:ilvl w:val="0"/>
          <w:numId w:val="17"/>
        </w:numPr>
        <w:suppressAutoHyphens w:val="0"/>
        <w:ind w:left="720"/>
        <w:contextualSpacing/>
        <w:jc w:val="both"/>
        <w:rPr>
          <w:rFonts w:ascii="Arial" w:hAnsi="Arial" w:cs="Arial"/>
          <w:bCs/>
          <w:sz w:val="22"/>
          <w:szCs w:val="22"/>
        </w:rPr>
      </w:pPr>
      <w:r w:rsidRPr="00806CE9">
        <w:rPr>
          <w:rFonts w:ascii="Arial" w:hAnsi="Arial" w:cs="Arial"/>
          <w:bCs/>
          <w:sz w:val="22"/>
          <w:szCs w:val="22"/>
        </w:rPr>
        <w:t xml:space="preserve">In terms of Regulation 12(3) of the </w:t>
      </w:r>
      <w:r w:rsidRPr="00806CE9">
        <w:rPr>
          <w:rFonts w:ascii="Arial" w:hAnsi="Arial" w:cs="Arial"/>
          <w:sz w:val="22"/>
          <w:szCs w:val="22"/>
        </w:rPr>
        <w:t>SEBI SBEB Regulations</w:t>
      </w:r>
      <w:r w:rsidRPr="00806CE9">
        <w:rPr>
          <w:rFonts w:ascii="Arial" w:hAnsi="Arial" w:cs="Arial"/>
          <w:bCs/>
          <w:sz w:val="22"/>
          <w:szCs w:val="22"/>
        </w:rPr>
        <w:t>, the Company was required to obtain the in-principle approval from stock exchange where its equity share are listed prior to the grant of options whereas, as mentioned above the company with bona fide intention granted 3,19,000 stock options on 29</w:t>
      </w:r>
      <w:r w:rsidRPr="00806CE9">
        <w:rPr>
          <w:rFonts w:ascii="Arial" w:hAnsi="Arial" w:cs="Arial"/>
          <w:bCs/>
          <w:sz w:val="22"/>
          <w:szCs w:val="22"/>
          <w:vertAlign w:val="superscript"/>
        </w:rPr>
        <w:t>th</w:t>
      </w:r>
      <w:r w:rsidRPr="00806CE9">
        <w:rPr>
          <w:rFonts w:ascii="Arial" w:hAnsi="Arial" w:cs="Arial"/>
          <w:bCs/>
          <w:sz w:val="22"/>
          <w:szCs w:val="22"/>
        </w:rPr>
        <w:t xml:space="preserve"> October 2021 under ESOP Scheme-2017 without obtaining the in-principal approval as required under revised </w:t>
      </w:r>
      <w:r w:rsidRPr="00806CE9">
        <w:rPr>
          <w:rFonts w:ascii="Arial" w:hAnsi="Arial" w:cs="Arial"/>
          <w:sz w:val="22"/>
          <w:szCs w:val="22"/>
        </w:rPr>
        <w:t>SEBI (Share Based Employee Benefits and Sweat Equity) Regulations, 2021 which were made applicable w.e.f. 13</w:t>
      </w:r>
      <w:r w:rsidRPr="00806CE9">
        <w:rPr>
          <w:rFonts w:ascii="Arial" w:hAnsi="Arial" w:cs="Arial"/>
          <w:sz w:val="22"/>
          <w:szCs w:val="22"/>
          <w:vertAlign w:val="superscript"/>
        </w:rPr>
        <w:t>th</w:t>
      </w:r>
      <w:r w:rsidRPr="00806CE9">
        <w:rPr>
          <w:rFonts w:ascii="Arial" w:hAnsi="Arial" w:cs="Arial"/>
          <w:sz w:val="22"/>
          <w:szCs w:val="22"/>
        </w:rPr>
        <w:t xml:space="preserve"> August 2021.</w:t>
      </w:r>
    </w:p>
    <w:p w14:paraId="3AF9D2E6" w14:textId="77777777" w:rsidR="00806CE9" w:rsidRPr="00806CE9" w:rsidRDefault="00806CE9" w:rsidP="00806CE9">
      <w:pPr>
        <w:pStyle w:val="ListParagraph"/>
        <w:rPr>
          <w:rFonts w:ascii="Arial" w:hAnsi="Arial" w:cs="Arial"/>
          <w:bCs/>
          <w:sz w:val="22"/>
          <w:szCs w:val="22"/>
        </w:rPr>
      </w:pPr>
    </w:p>
    <w:p w14:paraId="1D1C8225" w14:textId="77777777" w:rsidR="00806CE9" w:rsidRPr="00806CE9" w:rsidRDefault="00806CE9" w:rsidP="00806CE9">
      <w:pPr>
        <w:pStyle w:val="ListParagraph"/>
        <w:numPr>
          <w:ilvl w:val="0"/>
          <w:numId w:val="14"/>
        </w:numPr>
        <w:suppressAutoHyphens w:val="0"/>
        <w:contextualSpacing/>
        <w:jc w:val="both"/>
        <w:rPr>
          <w:rFonts w:ascii="Arial" w:hAnsi="Arial" w:cs="Arial"/>
          <w:b/>
          <w:sz w:val="22"/>
          <w:szCs w:val="22"/>
          <w:u w:val="single"/>
        </w:rPr>
      </w:pPr>
      <w:r w:rsidRPr="00806CE9">
        <w:rPr>
          <w:rFonts w:ascii="Arial" w:hAnsi="Arial" w:cs="Arial"/>
          <w:b/>
          <w:sz w:val="22"/>
          <w:szCs w:val="22"/>
          <w:u w:val="single"/>
        </w:rPr>
        <w:t>Exemption / Relief Sought</w:t>
      </w:r>
    </w:p>
    <w:p w14:paraId="69B98EF2" w14:textId="77777777" w:rsidR="00806CE9" w:rsidRPr="00806CE9" w:rsidRDefault="00806CE9" w:rsidP="00806CE9">
      <w:pPr>
        <w:ind w:left="709"/>
        <w:jc w:val="both"/>
        <w:rPr>
          <w:rFonts w:ascii="Arial" w:hAnsi="Arial" w:cs="Arial"/>
          <w:sz w:val="22"/>
          <w:szCs w:val="22"/>
        </w:rPr>
      </w:pPr>
    </w:p>
    <w:p w14:paraId="0EADBB06" w14:textId="089A1D71" w:rsidR="00806CE9" w:rsidRPr="00267CC5" w:rsidRDefault="00806CE9" w:rsidP="00267CC5">
      <w:pPr>
        <w:suppressAutoHyphens w:val="0"/>
        <w:contextualSpacing/>
        <w:jc w:val="both"/>
        <w:rPr>
          <w:rFonts w:ascii="Arial" w:hAnsi="Arial" w:cs="Arial"/>
          <w:sz w:val="22"/>
          <w:szCs w:val="22"/>
        </w:rPr>
      </w:pPr>
      <w:r w:rsidRPr="00267CC5">
        <w:rPr>
          <w:rFonts w:ascii="Arial" w:hAnsi="Arial" w:cs="Arial"/>
          <w:sz w:val="22"/>
          <w:szCs w:val="22"/>
        </w:rPr>
        <w:t xml:space="preserve">This application is being made by the Company under the SEBI SBEB Regulations to grant exemption / relief / condonation under Regulation 43 of the SEBI SBEB Regulations </w:t>
      </w:r>
      <w:proofErr w:type="spellStart"/>
      <w:r w:rsidRPr="00267CC5">
        <w:rPr>
          <w:rFonts w:ascii="Arial" w:hAnsi="Arial" w:cs="Arial"/>
          <w:sz w:val="22"/>
          <w:szCs w:val="22"/>
        </w:rPr>
        <w:t>w.r.t.</w:t>
      </w:r>
      <w:proofErr w:type="spellEnd"/>
      <w:r w:rsidRPr="00267CC5">
        <w:rPr>
          <w:rFonts w:ascii="Arial" w:hAnsi="Arial" w:cs="Arial"/>
          <w:sz w:val="22"/>
          <w:szCs w:val="22"/>
        </w:rPr>
        <w:t xml:space="preserve"> the options which had already been granted by the Company on October 29, 2021 pursuant the ESOP Scheme-2017 approved under the erstwhile SEBI SBEB Regulations without receipt of in-</w:t>
      </w:r>
      <w:proofErr w:type="gramStart"/>
      <w:r w:rsidRPr="00267CC5">
        <w:rPr>
          <w:rFonts w:ascii="Arial" w:hAnsi="Arial" w:cs="Arial"/>
          <w:sz w:val="22"/>
          <w:szCs w:val="22"/>
        </w:rPr>
        <w:t>principle</w:t>
      </w:r>
      <w:proofErr w:type="gramEnd"/>
      <w:r w:rsidRPr="00267CC5">
        <w:rPr>
          <w:rFonts w:ascii="Arial" w:hAnsi="Arial" w:cs="Arial"/>
          <w:sz w:val="22"/>
          <w:szCs w:val="22"/>
        </w:rPr>
        <w:t xml:space="preserve"> approval</w:t>
      </w:r>
      <w:r w:rsidR="00267CC5">
        <w:rPr>
          <w:rFonts w:ascii="Arial" w:hAnsi="Arial" w:cs="Arial"/>
          <w:sz w:val="22"/>
          <w:szCs w:val="22"/>
        </w:rPr>
        <w:t xml:space="preserve"> from </w:t>
      </w:r>
      <w:r w:rsidR="00776853">
        <w:rPr>
          <w:rFonts w:ascii="Arial" w:hAnsi="Arial" w:cs="Arial"/>
          <w:sz w:val="22"/>
          <w:szCs w:val="22"/>
        </w:rPr>
        <w:t>Stock Exchange (</w:t>
      </w:r>
      <w:r w:rsidR="00267CC5">
        <w:rPr>
          <w:rFonts w:ascii="Arial" w:hAnsi="Arial" w:cs="Arial"/>
          <w:sz w:val="22"/>
          <w:szCs w:val="22"/>
        </w:rPr>
        <w:t>BSE</w:t>
      </w:r>
      <w:r w:rsidR="00776853">
        <w:rPr>
          <w:rFonts w:ascii="Arial" w:hAnsi="Arial" w:cs="Arial"/>
          <w:sz w:val="22"/>
          <w:szCs w:val="22"/>
        </w:rPr>
        <w:t>)</w:t>
      </w:r>
      <w:r w:rsidRPr="00267CC5">
        <w:rPr>
          <w:rFonts w:ascii="Arial" w:hAnsi="Arial" w:cs="Arial"/>
          <w:sz w:val="22"/>
          <w:szCs w:val="22"/>
        </w:rPr>
        <w:t xml:space="preserve">. Further, it is also requested that the application of the Company now being made pursuant to Regulation 12(3) of the SEBI SBEB Regulations be considered by the </w:t>
      </w:r>
      <w:r w:rsidR="00267CC5">
        <w:rPr>
          <w:rFonts w:ascii="Arial" w:hAnsi="Arial" w:cs="Arial"/>
          <w:sz w:val="22"/>
          <w:szCs w:val="22"/>
        </w:rPr>
        <w:t>S</w:t>
      </w:r>
      <w:r w:rsidRPr="00267CC5">
        <w:rPr>
          <w:rFonts w:ascii="Arial" w:hAnsi="Arial" w:cs="Arial"/>
          <w:sz w:val="22"/>
          <w:szCs w:val="22"/>
        </w:rPr>
        <w:t xml:space="preserve">tock </w:t>
      </w:r>
      <w:r w:rsidR="00267CC5">
        <w:rPr>
          <w:rFonts w:ascii="Arial" w:hAnsi="Arial" w:cs="Arial"/>
          <w:sz w:val="22"/>
          <w:szCs w:val="22"/>
        </w:rPr>
        <w:t>E</w:t>
      </w:r>
      <w:r w:rsidRPr="00267CC5">
        <w:rPr>
          <w:rFonts w:ascii="Arial" w:hAnsi="Arial" w:cs="Arial"/>
          <w:sz w:val="22"/>
          <w:szCs w:val="22"/>
        </w:rPr>
        <w:t>xchange and in-</w:t>
      </w:r>
      <w:proofErr w:type="gramStart"/>
      <w:r w:rsidRPr="00267CC5">
        <w:rPr>
          <w:rFonts w:ascii="Arial" w:hAnsi="Arial" w:cs="Arial"/>
          <w:sz w:val="22"/>
          <w:szCs w:val="22"/>
        </w:rPr>
        <w:t>principle</w:t>
      </w:r>
      <w:proofErr w:type="gramEnd"/>
      <w:r w:rsidRPr="00267CC5">
        <w:rPr>
          <w:rFonts w:ascii="Arial" w:hAnsi="Arial" w:cs="Arial"/>
          <w:sz w:val="22"/>
          <w:szCs w:val="22"/>
        </w:rPr>
        <w:t xml:space="preserve"> approval be granted for the abovementioned </w:t>
      </w:r>
      <w:r w:rsidRPr="00267CC5">
        <w:rPr>
          <w:rFonts w:ascii="Arial" w:hAnsi="Arial" w:cs="Arial"/>
          <w:bCs/>
          <w:sz w:val="22"/>
          <w:szCs w:val="22"/>
        </w:rPr>
        <w:t>12,71,309 equity shares reserved under the Scheme.</w:t>
      </w:r>
    </w:p>
    <w:p w14:paraId="39EC983E" w14:textId="56509910" w:rsidR="00806CE9" w:rsidRDefault="00806CE9" w:rsidP="00806CE9">
      <w:pPr>
        <w:rPr>
          <w:rFonts w:ascii="Arial" w:hAnsi="Arial" w:cs="Arial"/>
          <w:sz w:val="22"/>
          <w:szCs w:val="22"/>
        </w:rPr>
      </w:pPr>
    </w:p>
    <w:p w14:paraId="191AF511" w14:textId="48045F4F" w:rsidR="00806CE9" w:rsidRDefault="00806CE9" w:rsidP="00806CE9">
      <w:pPr>
        <w:rPr>
          <w:rFonts w:ascii="Arial" w:hAnsi="Arial" w:cs="Arial"/>
          <w:sz w:val="22"/>
          <w:szCs w:val="22"/>
        </w:rPr>
      </w:pPr>
    </w:p>
    <w:p w14:paraId="6AC9224D" w14:textId="4135E48D" w:rsidR="00315481" w:rsidRDefault="00315481" w:rsidP="00806CE9">
      <w:pPr>
        <w:rPr>
          <w:rFonts w:ascii="Arial" w:hAnsi="Arial" w:cs="Arial"/>
          <w:sz w:val="22"/>
          <w:szCs w:val="22"/>
        </w:rPr>
      </w:pPr>
    </w:p>
    <w:p w14:paraId="4B8DC35F" w14:textId="188CFEA9" w:rsidR="00315481" w:rsidRDefault="00315481" w:rsidP="00806CE9">
      <w:pPr>
        <w:rPr>
          <w:rFonts w:ascii="Arial" w:hAnsi="Arial" w:cs="Arial"/>
          <w:sz w:val="22"/>
          <w:szCs w:val="22"/>
        </w:rPr>
      </w:pPr>
    </w:p>
    <w:p w14:paraId="7412697D" w14:textId="0165E749" w:rsidR="00315481" w:rsidRDefault="00315481" w:rsidP="00806CE9">
      <w:pPr>
        <w:rPr>
          <w:rFonts w:ascii="Arial" w:hAnsi="Arial" w:cs="Arial"/>
          <w:sz w:val="22"/>
          <w:szCs w:val="22"/>
        </w:rPr>
      </w:pPr>
    </w:p>
    <w:p w14:paraId="3D668D33" w14:textId="2243A16A" w:rsidR="00315481" w:rsidRDefault="00315481" w:rsidP="00806CE9">
      <w:pPr>
        <w:rPr>
          <w:rFonts w:ascii="Arial" w:hAnsi="Arial" w:cs="Arial"/>
          <w:sz w:val="22"/>
          <w:szCs w:val="22"/>
        </w:rPr>
      </w:pPr>
    </w:p>
    <w:p w14:paraId="1794342E" w14:textId="77777777" w:rsidR="00315481" w:rsidRPr="00806CE9" w:rsidRDefault="00315481" w:rsidP="00806CE9">
      <w:pPr>
        <w:rPr>
          <w:rFonts w:ascii="Arial" w:hAnsi="Arial" w:cs="Arial"/>
          <w:sz w:val="22"/>
          <w:szCs w:val="22"/>
        </w:rPr>
      </w:pPr>
    </w:p>
    <w:p w14:paraId="44994BCE" w14:textId="77777777" w:rsidR="00806CE9" w:rsidRPr="00806CE9" w:rsidRDefault="00806CE9" w:rsidP="00806CE9">
      <w:pPr>
        <w:jc w:val="both"/>
        <w:rPr>
          <w:rFonts w:ascii="Arial" w:hAnsi="Arial" w:cs="Arial"/>
          <w:sz w:val="22"/>
          <w:szCs w:val="22"/>
        </w:rPr>
      </w:pPr>
      <w:r w:rsidRPr="00806CE9">
        <w:rPr>
          <w:rFonts w:ascii="Arial" w:hAnsi="Arial" w:cs="Arial"/>
          <w:sz w:val="22"/>
          <w:szCs w:val="22"/>
        </w:rPr>
        <w:t>Further, in this regard, fees as mentioned under Regulation 43(2) of the SEBI SBEB Regulations has been paid as under:</w:t>
      </w:r>
    </w:p>
    <w:p w14:paraId="47FDEA0A" w14:textId="77777777" w:rsidR="00806CE9" w:rsidRPr="00806CE9" w:rsidRDefault="00806CE9" w:rsidP="00806CE9">
      <w:pPr>
        <w:rPr>
          <w:rFonts w:ascii="Arial" w:hAnsi="Arial" w:cs="Arial"/>
          <w:sz w:val="22"/>
          <w:szCs w:val="22"/>
        </w:rPr>
      </w:pPr>
    </w:p>
    <w:tbl>
      <w:tblPr>
        <w:tblStyle w:val="TableGrid"/>
        <w:tblW w:w="9958" w:type="dxa"/>
        <w:jc w:val="center"/>
        <w:tblLayout w:type="fixed"/>
        <w:tblLook w:val="04A0" w:firstRow="1" w:lastRow="0" w:firstColumn="1" w:lastColumn="0" w:noHBand="0" w:noVBand="1"/>
      </w:tblPr>
      <w:tblGrid>
        <w:gridCol w:w="4058"/>
        <w:gridCol w:w="283"/>
        <w:gridCol w:w="5617"/>
      </w:tblGrid>
      <w:tr w:rsidR="00806CE9" w:rsidRPr="00806CE9" w14:paraId="631BE0A6" w14:textId="77777777" w:rsidTr="00D13FA8">
        <w:trPr>
          <w:jc w:val="center"/>
        </w:trPr>
        <w:tc>
          <w:tcPr>
            <w:tcW w:w="4058" w:type="dxa"/>
          </w:tcPr>
          <w:p w14:paraId="7308510E" w14:textId="11F8BA68" w:rsidR="00806CE9" w:rsidRPr="00806CE9" w:rsidRDefault="00806CE9" w:rsidP="0053022B">
            <w:pPr>
              <w:rPr>
                <w:rFonts w:ascii="Arial" w:hAnsi="Arial" w:cs="Arial"/>
                <w:b/>
                <w:bCs/>
                <w:lang w:val="en-US"/>
              </w:rPr>
            </w:pPr>
            <w:r>
              <w:rPr>
                <w:rFonts w:ascii="Arial" w:hAnsi="Arial" w:cs="Arial"/>
                <w:b/>
                <w:bCs/>
                <w:lang w:val="en-US"/>
              </w:rPr>
              <w:t xml:space="preserve">Particulars </w:t>
            </w:r>
            <w:r w:rsidRPr="00806CE9">
              <w:rPr>
                <w:rFonts w:ascii="Arial" w:hAnsi="Arial" w:cs="Arial"/>
                <w:b/>
                <w:bCs/>
                <w:lang w:val="en-US"/>
              </w:rPr>
              <w:t>of fees paid</w:t>
            </w:r>
          </w:p>
        </w:tc>
        <w:tc>
          <w:tcPr>
            <w:tcW w:w="283" w:type="dxa"/>
          </w:tcPr>
          <w:p w14:paraId="211A749B" w14:textId="77777777" w:rsidR="00806CE9" w:rsidRPr="00806CE9" w:rsidRDefault="00806CE9" w:rsidP="0053022B">
            <w:pPr>
              <w:rPr>
                <w:rFonts w:ascii="Arial" w:hAnsi="Arial" w:cs="Arial"/>
                <w:lang w:val="en-US"/>
              </w:rPr>
            </w:pPr>
          </w:p>
        </w:tc>
        <w:tc>
          <w:tcPr>
            <w:tcW w:w="5617" w:type="dxa"/>
          </w:tcPr>
          <w:p w14:paraId="0EF83527" w14:textId="5A2156F4" w:rsidR="00806CE9" w:rsidRPr="00806CE9" w:rsidRDefault="00806CE9" w:rsidP="00D13FA8">
            <w:pPr>
              <w:rPr>
                <w:rFonts w:ascii="Arial" w:hAnsi="Arial" w:cs="Arial"/>
                <w:b/>
                <w:bCs/>
                <w:lang w:val="en-US"/>
              </w:rPr>
            </w:pPr>
            <w:r w:rsidRPr="00806CE9">
              <w:rPr>
                <w:rFonts w:ascii="Arial" w:hAnsi="Arial" w:cs="Arial"/>
                <w:b/>
                <w:bCs/>
                <w:lang w:val="en-US"/>
              </w:rPr>
              <w:t>Details</w:t>
            </w:r>
          </w:p>
        </w:tc>
      </w:tr>
      <w:tr w:rsidR="00806CE9" w:rsidRPr="00806CE9" w14:paraId="023D63EE" w14:textId="77777777" w:rsidTr="00D13FA8">
        <w:trPr>
          <w:jc w:val="center"/>
        </w:trPr>
        <w:tc>
          <w:tcPr>
            <w:tcW w:w="4058" w:type="dxa"/>
          </w:tcPr>
          <w:p w14:paraId="3F862515" w14:textId="77777777" w:rsidR="00806CE9" w:rsidRPr="00806CE9" w:rsidRDefault="00806CE9" w:rsidP="0053022B">
            <w:pPr>
              <w:rPr>
                <w:rFonts w:ascii="Arial" w:hAnsi="Arial" w:cs="Arial"/>
                <w:lang w:val="en-US"/>
              </w:rPr>
            </w:pPr>
            <w:r w:rsidRPr="00806CE9">
              <w:rPr>
                <w:rFonts w:ascii="Arial" w:hAnsi="Arial" w:cs="Arial"/>
                <w:lang w:val="en-US"/>
              </w:rPr>
              <w:t>Fees amount</w:t>
            </w:r>
          </w:p>
        </w:tc>
        <w:tc>
          <w:tcPr>
            <w:tcW w:w="283" w:type="dxa"/>
          </w:tcPr>
          <w:p w14:paraId="18497C3C" w14:textId="77777777" w:rsidR="00806CE9" w:rsidRPr="00806CE9" w:rsidRDefault="00806CE9" w:rsidP="0053022B">
            <w:pPr>
              <w:rPr>
                <w:rFonts w:ascii="Arial" w:hAnsi="Arial" w:cs="Arial"/>
                <w:lang w:val="en-US"/>
              </w:rPr>
            </w:pPr>
            <w:r w:rsidRPr="00806CE9">
              <w:rPr>
                <w:rFonts w:ascii="Arial" w:hAnsi="Arial" w:cs="Arial"/>
                <w:lang w:val="en-US"/>
              </w:rPr>
              <w:t>:</w:t>
            </w:r>
          </w:p>
        </w:tc>
        <w:tc>
          <w:tcPr>
            <w:tcW w:w="5617" w:type="dxa"/>
          </w:tcPr>
          <w:p w14:paraId="562FC8F6" w14:textId="77777777" w:rsidR="00806CE9" w:rsidRPr="00806CE9" w:rsidRDefault="00806CE9" w:rsidP="00D13FA8">
            <w:pPr>
              <w:rPr>
                <w:rFonts w:ascii="Arial" w:hAnsi="Arial" w:cs="Arial"/>
                <w:lang w:val="en-US"/>
              </w:rPr>
            </w:pPr>
            <w:r w:rsidRPr="00806CE9">
              <w:rPr>
                <w:rFonts w:ascii="Arial" w:hAnsi="Arial" w:cs="Arial"/>
                <w:lang w:val="en-US"/>
              </w:rPr>
              <w:t>Rs. 100,000</w:t>
            </w:r>
          </w:p>
        </w:tc>
      </w:tr>
      <w:tr w:rsidR="00806CE9" w:rsidRPr="00806CE9" w14:paraId="43E47889" w14:textId="77777777" w:rsidTr="00D13FA8">
        <w:trPr>
          <w:jc w:val="center"/>
        </w:trPr>
        <w:tc>
          <w:tcPr>
            <w:tcW w:w="4058" w:type="dxa"/>
          </w:tcPr>
          <w:p w14:paraId="082F5DC8" w14:textId="77777777" w:rsidR="00806CE9" w:rsidRPr="00806CE9" w:rsidRDefault="00806CE9" w:rsidP="0053022B">
            <w:pPr>
              <w:rPr>
                <w:rFonts w:ascii="Arial" w:hAnsi="Arial" w:cs="Arial"/>
                <w:lang w:val="en-US"/>
              </w:rPr>
            </w:pPr>
            <w:r w:rsidRPr="00806CE9">
              <w:rPr>
                <w:rFonts w:ascii="Arial" w:hAnsi="Arial" w:cs="Arial"/>
                <w:lang w:val="en-US"/>
              </w:rPr>
              <w:t>IGST @ 18%</w:t>
            </w:r>
          </w:p>
        </w:tc>
        <w:tc>
          <w:tcPr>
            <w:tcW w:w="283" w:type="dxa"/>
          </w:tcPr>
          <w:p w14:paraId="1C2D7D9B" w14:textId="77777777" w:rsidR="00806CE9" w:rsidRPr="00806CE9" w:rsidRDefault="00806CE9" w:rsidP="0053022B">
            <w:pPr>
              <w:rPr>
                <w:rFonts w:ascii="Arial" w:hAnsi="Arial" w:cs="Arial"/>
                <w:lang w:val="en-US"/>
              </w:rPr>
            </w:pPr>
            <w:r w:rsidRPr="00806CE9">
              <w:rPr>
                <w:rFonts w:ascii="Arial" w:hAnsi="Arial" w:cs="Arial"/>
                <w:lang w:val="en-US"/>
              </w:rPr>
              <w:t>:</w:t>
            </w:r>
          </w:p>
        </w:tc>
        <w:tc>
          <w:tcPr>
            <w:tcW w:w="5617" w:type="dxa"/>
          </w:tcPr>
          <w:p w14:paraId="18385368" w14:textId="77777777" w:rsidR="00806CE9" w:rsidRPr="00806CE9" w:rsidRDefault="00806CE9" w:rsidP="00D13FA8">
            <w:pPr>
              <w:rPr>
                <w:rFonts w:ascii="Arial" w:hAnsi="Arial" w:cs="Arial"/>
                <w:lang w:val="en-US"/>
              </w:rPr>
            </w:pPr>
            <w:r w:rsidRPr="00806CE9">
              <w:rPr>
                <w:rFonts w:ascii="Arial" w:hAnsi="Arial" w:cs="Arial"/>
                <w:lang w:val="en-US"/>
              </w:rPr>
              <w:t>Rs. 18,000</w:t>
            </w:r>
          </w:p>
        </w:tc>
      </w:tr>
      <w:tr w:rsidR="00806CE9" w:rsidRPr="00806CE9" w14:paraId="63CEADE0" w14:textId="77777777" w:rsidTr="00D13FA8">
        <w:trPr>
          <w:jc w:val="center"/>
        </w:trPr>
        <w:tc>
          <w:tcPr>
            <w:tcW w:w="4058" w:type="dxa"/>
          </w:tcPr>
          <w:p w14:paraId="2EF1075C" w14:textId="77777777" w:rsidR="00806CE9" w:rsidRPr="00806CE9" w:rsidRDefault="00806CE9" w:rsidP="0053022B">
            <w:pPr>
              <w:rPr>
                <w:rFonts w:ascii="Arial" w:hAnsi="Arial" w:cs="Arial"/>
                <w:lang w:val="en-US"/>
              </w:rPr>
            </w:pPr>
            <w:r w:rsidRPr="00806CE9">
              <w:rPr>
                <w:rFonts w:ascii="Arial" w:hAnsi="Arial" w:cs="Arial"/>
                <w:lang w:val="en-US"/>
              </w:rPr>
              <w:t>Amount paid</w:t>
            </w:r>
          </w:p>
        </w:tc>
        <w:tc>
          <w:tcPr>
            <w:tcW w:w="283" w:type="dxa"/>
          </w:tcPr>
          <w:p w14:paraId="6FB41FA6" w14:textId="77777777" w:rsidR="00806CE9" w:rsidRPr="00806CE9" w:rsidRDefault="00806CE9" w:rsidP="0053022B">
            <w:pPr>
              <w:rPr>
                <w:rFonts w:ascii="Arial" w:hAnsi="Arial" w:cs="Arial"/>
                <w:lang w:val="en-US"/>
              </w:rPr>
            </w:pPr>
            <w:r w:rsidRPr="00806CE9">
              <w:rPr>
                <w:rFonts w:ascii="Arial" w:hAnsi="Arial" w:cs="Arial"/>
                <w:lang w:val="en-US"/>
              </w:rPr>
              <w:t>:</w:t>
            </w:r>
          </w:p>
        </w:tc>
        <w:tc>
          <w:tcPr>
            <w:tcW w:w="5617" w:type="dxa"/>
          </w:tcPr>
          <w:p w14:paraId="6C2F0B3A" w14:textId="77777777" w:rsidR="00806CE9" w:rsidRPr="00806CE9" w:rsidRDefault="00806CE9" w:rsidP="00D13FA8">
            <w:pPr>
              <w:rPr>
                <w:rFonts w:ascii="Arial" w:hAnsi="Arial" w:cs="Arial"/>
                <w:lang w:val="en-US"/>
              </w:rPr>
            </w:pPr>
            <w:r w:rsidRPr="00806CE9">
              <w:rPr>
                <w:rFonts w:ascii="Arial" w:hAnsi="Arial" w:cs="Arial"/>
                <w:lang w:val="en-US"/>
              </w:rPr>
              <w:t>Rs. 118,000</w:t>
            </w:r>
          </w:p>
        </w:tc>
      </w:tr>
      <w:tr w:rsidR="00806CE9" w:rsidRPr="00806CE9" w14:paraId="63D33603" w14:textId="77777777" w:rsidTr="00D13FA8">
        <w:trPr>
          <w:jc w:val="center"/>
        </w:trPr>
        <w:tc>
          <w:tcPr>
            <w:tcW w:w="4058" w:type="dxa"/>
          </w:tcPr>
          <w:p w14:paraId="63479447" w14:textId="216DA0FE" w:rsidR="00315481" w:rsidRPr="00806CE9" w:rsidRDefault="002E1C87" w:rsidP="0053022B">
            <w:pPr>
              <w:rPr>
                <w:rFonts w:ascii="Arial" w:hAnsi="Arial" w:cs="Arial"/>
                <w:lang w:val="en-US"/>
              </w:rPr>
            </w:pPr>
            <w:r>
              <w:rPr>
                <w:rFonts w:ascii="Arial" w:hAnsi="Arial" w:cs="Arial"/>
                <w:lang w:val="en-US"/>
              </w:rPr>
              <w:t xml:space="preserve">Details of </w:t>
            </w:r>
            <w:r w:rsidR="001D4FBF">
              <w:rPr>
                <w:rFonts w:ascii="Arial" w:hAnsi="Arial" w:cs="Arial"/>
                <w:lang w:val="en-US"/>
              </w:rPr>
              <w:t>Demand Draft</w:t>
            </w:r>
            <w:r w:rsidR="00315481">
              <w:rPr>
                <w:rFonts w:ascii="Arial" w:hAnsi="Arial" w:cs="Arial"/>
                <w:lang w:val="en-US"/>
              </w:rPr>
              <w:t xml:space="preserve"> (attached)</w:t>
            </w:r>
          </w:p>
        </w:tc>
        <w:tc>
          <w:tcPr>
            <w:tcW w:w="283" w:type="dxa"/>
          </w:tcPr>
          <w:p w14:paraId="2E746BF4" w14:textId="77777777" w:rsidR="00806CE9" w:rsidRDefault="00D13FA8" w:rsidP="0053022B">
            <w:pPr>
              <w:rPr>
                <w:rFonts w:ascii="Arial" w:hAnsi="Arial" w:cs="Arial"/>
                <w:lang w:val="en-US"/>
              </w:rPr>
            </w:pPr>
            <w:r>
              <w:rPr>
                <w:rFonts w:ascii="Arial" w:hAnsi="Arial" w:cs="Arial"/>
                <w:lang w:val="en-US"/>
              </w:rPr>
              <w:t>1</w:t>
            </w:r>
          </w:p>
          <w:p w14:paraId="2E148E47" w14:textId="77777777" w:rsidR="00D13FA8" w:rsidRDefault="00D13FA8" w:rsidP="0053022B">
            <w:pPr>
              <w:rPr>
                <w:rFonts w:ascii="Arial" w:hAnsi="Arial" w:cs="Arial"/>
                <w:lang w:val="en-US"/>
              </w:rPr>
            </w:pPr>
            <w:r>
              <w:rPr>
                <w:rFonts w:ascii="Arial" w:hAnsi="Arial" w:cs="Arial"/>
                <w:lang w:val="en-US"/>
              </w:rPr>
              <w:t>2</w:t>
            </w:r>
          </w:p>
          <w:p w14:paraId="38FD9BE4" w14:textId="77777777" w:rsidR="00D13FA8" w:rsidRDefault="00D13FA8" w:rsidP="0053022B">
            <w:pPr>
              <w:rPr>
                <w:rFonts w:ascii="Arial" w:hAnsi="Arial" w:cs="Arial"/>
                <w:lang w:val="en-US"/>
              </w:rPr>
            </w:pPr>
            <w:r>
              <w:rPr>
                <w:rFonts w:ascii="Arial" w:hAnsi="Arial" w:cs="Arial"/>
                <w:lang w:val="en-US"/>
              </w:rPr>
              <w:t>3</w:t>
            </w:r>
          </w:p>
          <w:p w14:paraId="4C104D52" w14:textId="5964C689" w:rsidR="00D13FA8" w:rsidRPr="00806CE9" w:rsidRDefault="00D13FA8" w:rsidP="0053022B">
            <w:pPr>
              <w:rPr>
                <w:rFonts w:ascii="Arial" w:hAnsi="Arial" w:cs="Arial"/>
                <w:lang w:val="en-US"/>
              </w:rPr>
            </w:pPr>
            <w:r>
              <w:rPr>
                <w:rFonts w:ascii="Arial" w:hAnsi="Arial" w:cs="Arial"/>
                <w:lang w:val="en-US"/>
              </w:rPr>
              <w:t>4</w:t>
            </w:r>
          </w:p>
        </w:tc>
        <w:tc>
          <w:tcPr>
            <w:tcW w:w="5617" w:type="dxa"/>
          </w:tcPr>
          <w:p w14:paraId="4AA5B4D1" w14:textId="3FB62754" w:rsidR="00806CE9" w:rsidRDefault="00AA4009" w:rsidP="00AA4009">
            <w:pPr>
              <w:rPr>
                <w:rFonts w:ascii="Arial" w:hAnsi="Arial" w:cs="Arial"/>
                <w:lang w:val="en-US"/>
              </w:rPr>
            </w:pPr>
            <w:r>
              <w:rPr>
                <w:rFonts w:ascii="Arial" w:hAnsi="Arial" w:cs="Arial"/>
                <w:lang w:val="en-US"/>
              </w:rPr>
              <w:t>Demand Draft No.</w:t>
            </w:r>
            <w:r w:rsidR="00D13FA8">
              <w:rPr>
                <w:rFonts w:ascii="Arial" w:hAnsi="Arial" w:cs="Arial"/>
                <w:lang w:val="en-US"/>
              </w:rPr>
              <w:t>:</w:t>
            </w:r>
            <w:r w:rsidR="00F51845">
              <w:rPr>
                <w:rFonts w:ascii="Arial" w:hAnsi="Arial" w:cs="Arial"/>
                <w:lang w:val="en-US"/>
              </w:rPr>
              <w:t xml:space="preserve"> 449012</w:t>
            </w:r>
          </w:p>
          <w:p w14:paraId="716DAE0A" w14:textId="346F84D7" w:rsidR="00AA4009" w:rsidRDefault="00AA4009" w:rsidP="00AA4009">
            <w:pPr>
              <w:rPr>
                <w:rFonts w:ascii="Arial" w:hAnsi="Arial" w:cs="Arial"/>
                <w:lang w:val="en-US"/>
              </w:rPr>
            </w:pPr>
            <w:r>
              <w:rPr>
                <w:rFonts w:ascii="Arial" w:hAnsi="Arial" w:cs="Arial"/>
                <w:lang w:val="en-US"/>
              </w:rPr>
              <w:t>Drawn on:</w:t>
            </w:r>
            <w:r w:rsidR="00D13FA8">
              <w:rPr>
                <w:rFonts w:ascii="Arial" w:hAnsi="Arial" w:cs="Arial"/>
                <w:lang w:val="en-US"/>
              </w:rPr>
              <w:t xml:space="preserve"> Axis Bank Limited</w:t>
            </w:r>
          </w:p>
          <w:p w14:paraId="6DB0B195" w14:textId="08E76877" w:rsidR="00AA4009" w:rsidRDefault="00A6018A" w:rsidP="00AA4009">
            <w:pPr>
              <w:rPr>
                <w:rFonts w:ascii="Arial" w:hAnsi="Arial" w:cs="Arial"/>
                <w:lang w:val="en-US"/>
              </w:rPr>
            </w:pPr>
            <w:r>
              <w:rPr>
                <w:rFonts w:ascii="Arial" w:hAnsi="Arial" w:cs="Arial"/>
                <w:lang w:val="en-US"/>
              </w:rPr>
              <w:t>Favoring</w:t>
            </w:r>
            <w:r w:rsidR="00D13FA8">
              <w:rPr>
                <w:rFonts w:ascii="Arial" w:hAnsi="Arial" w:cs="Arial"/>
                <w:lang w:val="en-US"/>
              </w:rPr>
              <w:t>: Securities and Exchange Board of India</w:t>
            </w:r>
          </w:p>
          <w:p w14:paraId="2873215A" w14:textId="3F92A3D8" w:rsidR="00AA4009" w:rsidRPr="00806CE9" w:rsidRDefault="00AA4009" w:rsidP="00AA4009">
            <w:pPr>
              <w:rPr>
                <w:rFonts w:ascii="Arial" w:hAnsi="Arial" w:cs="Arial"/>
                <w:lang w:val="en-US"/>
              </w:rPr>
            </w:pPr>
            <w:r>
              <w:rPr>
                <w:rFonts w:ascii="Arial" w:hAnsi="Arial" w:cs="Arial"/>
                <w:lang w:val="en-US"/>
              </w:rPr>
              <w:t>Payable at: Mumbai</w:t>
            </w:r>
          </w:p>
        </w:tc>
      </w:tr>
    </w:tbl>
    <w:p w14:paraId="38CBF366" w14:textId="77777777" w:rsidR="00806CE9" w:rsidRPr="00806CE9" w:rsidRDefault="00806CE9" w:rsidP="00806CE9">
      <w:pPr>
        <w:rPr>
          <w:rFonts w:ascii="Arial" w:hAnsi="Arial" w:cs="Arial"/>
          <w:sz w:val="22"/>
          <w:szCs w:val="22"/>
        </w:rPr>
      </w:pPr>
      <w:r w:rsidRPr="00806CE9">
        <w:rPr>
          <w:rFonts w:ascii="Arial" w:hAnsi="Arial" w:cs="Arial"/>
          <w:sz w:val="22"/>
          <w:szCs w:val="22"/>
        </w:rPr>
        <w:t xml:space="preserve"> </w:t>
      </w:r>
    </w:p>
    <w:p w14:paraId="03454F86" w14:textId="77777777" w:rsidR="00806CE9" w:rsidRPr="00806CE9" w:rsidRDefault="00806CE9" w:rsidP="00806CE9">
      <w:pPr>
        <w:jc w:val="both"/>
        <w:rPr>
          <w:rFonts w:ascii="Arial" w:hAnsi="Arial" w:cs="Arial"/>
          <w:sz w:val="22"/>
          <w:szCs w:val="22"/>
        </w:rPr>
      </w:pPr>
      <w:r w:rsidRPr="00806CE9">
        <w:rPr>
          <w:rFonts w:ascii="Arial" w:hAnsi="Arial" w:cs="Arial"/>
          <w:sz w:val="22"/>
          <w:szCs w:val="22"/>
        </w:rPr>
        <w:t>You are requested to consider this application and grant necessary approvals at an early date.</w:t>
      </w:r>
    </w:p>
    <w:p w14:paraId="15087564" w14:textId="77777777" w:rsidR="00806CE9" w:rsidRPr="00806CE9" w:rsidRDefault="00806CE9" w:rsidP="00806CE9">
      <w:pPr>
        <w:jc w:val="both"/>
        <w:rPr>
          <w:rFonts w:ascii="Arial" w:hAnsi="Arial" w:cs="Arial"/>
          <w:sz w:val="22"/>
          <w:szCs w:val="22"/>
        </w:rPr>
      </w:pPr>
    </w:p>
    <w:p w14:paraId="008C292B" w14:textId="77777777" w:rsidR="00806CE9" w:rsidRPr="00D13FA8" w:rsidRDefault="00806CE9" w:rsidP="00806CE9">
      <w:pPr>
        <w:jc w:val="both"/>
        <w:rPr>
          <w:rFonts w:ascii="Arial" w:hAnsi="Arial" w:cs="Arial"/>
          <w:b/>
          <w:sz w:val="22"/>
          <w:szCs w:val="22"/>
        </w:rPr>
      </w:pPr>
      <w:r w:rsidRPr="00D13FA8">
        <w:rPr>
          <w:rFonts w:ascii="Arial" w:hAnsi="Arial" w:cs="Arial"/>
          <w:bCs/>
          <w:sz w:val="22"/>
          <w:szCs w:val="22"/>
        </w:rPr>
        <w:t>for</w:t>
      </w:r>
      <w:r w:rsidRPr="00D13FA8">
        <w:rPr>
          <w:rFonts w:ascii="Arial" w:hAnsi="Arial" w:cs="Arial"/>
          <w:b/>
          <w:sz w:val="22"/>
          <w:szCs w:val="22"/>
        </w:rPr>
        <w:t xml:space="preserve"> Transcorp International Limited</w:t>
      </w:r>
    </w:p>
    <w:p w14:paraId="1C1404B4" w14:textId="77777777" w:rsidR="00806CE9" w:rsidRPr="00D13FA8" w:rsidRDefault="00806CE9" w:rsidP="00806CE9">
      <w:pPr>
        <w:jc w:val="both"/>
        <w:rPr>
          <w:rFonts w:ascii="Arial" w:hAnsi="Arial" w:cs="Arial"/>
          <w:b/>
          <w:sz w:val="22"/>
          <w:szCs w:val="22"/>
        </w:rPr>
      </w:pPr>
    </w:p>
    <w:p w14:paraId="47053C11" w14:textId="77777777" w:rsidR="00806CE9" w:rsidRPr="00D13FA8" w:rsidRDefault="00806CE9" w:rsidP="00806CE9">
      <w:pPr>
        <w:jc w:val="both"/>
        <w:rPr>
          <w:rFonts w:ascii="Arial" w:hAnsi="Arial" w:cs="Arial"/>
          <w:b/>
          <w:sz w:val="22"/>
          <w:szCs w:val="22"/>
        </w:rPr>
      </w:pPr>
    </w:p>
    <w:p w14:paraId="2EDE32E1" w14:textId="77777777" w:rsidR="00806CE9" w:rsidRPr="00D13FA8" w:rsidRDefault="00806CE9" w:rsidP="00806CE9">
      <w:pPr>
        <w:jc w:val="both"/>
        <w:rPr>
          <w:rFonts w:ascii="Arial" w:hAnsi="Arial" w:cs="Arial"/>
          <w:b/>
          <w:sz w:val="22"/>
          <w:szCs w:val="22"/>
        </w:rPr>
      </w:pPr>
    </w:p>
    <w:p w14:paraId="1D52A3AD" w14:textId="77777777" w:rsidR="00806CE9" w:rsidRPr="00D13FA8" w:rsidRDefault="00806CE9" w:rsidP="00806CE9">
      <w:pPr>
        <w:jc w:val="both"/>
        <w:rPr>
          <w:rFonts w:ascii="Arial" w:hAnsi="Arial" w:cs="Arial"/>
          <w:b/>
          <w:sz w:val="22"/>
          <w:szCs w:val="22"/>
        </w:rPr>
      </w:pPr>
      <w:r w:rsidRPr="00D13FA8">
        <w:rPr>
          <w:rFonts w:ascii="Arial" w:hAnsi="Arial" w:cs="Arial"/>
          <w:b/>
          <w:sz w:val="22"/>
          <w:szCs w:val="22"/>
        </w:rPr>
        <w:t>Dilip Kumar Morwal</w:t>
      </w:r>
    </w:p>
    <w:p w14:paraId="065DF7B2" w14:textId="77777777" w:rsidR="00806CE9" w:rsidRPr="00D13FA8" w:rsidRDefault="00806CE9" w:rsidP="00806CE9">
      <w:pPr>
        <w:jc w:val="both"/>
        <w:rPr>
          <w:rFonts w:ascii="Arial" w:hAnsi="Arial" w:cs="Arial"/>
          <w:b/>
          <w:sz w:val="22"/>
          <w:szCs w:val="22"/>
        </w:rPr>
      </w:pPr>
      <w:r w:rsidRPr="00D13FA8">
        <w:rPr>
          <w:rFonts w:ascii="Arial" w:hAnsi="Arial" w:cs="Arial"/>
          <w:b/>
          <w:sz w:val="22"/>
          <w:szCs w:val="22"/>
        </w:rPr>
        <w:t>Company Secretary</w:t>
      </w:r>
    </w:p>
    <w:p w14:paraId="5DF424F4" w14:textId="77777777" w:rsidR="00806CE9" w:rsidRPr="00D13FA8" w:rsidRDefault="00806CE9" w:rsidP="00806CE9">
      <w:pPr>
        <w:jc w:val="both"/>
        <w:rPr>
          <w:rFonts w:ascii="Arial" w:hAnsi="Arial" w:cs="Arial"/>
          <w:b/>
          <w:sz w:val="22"/>
          <w:szCs w:val="22"/>
        </w:rPr>
      </w:pPr>
      <w:r w:rsidRPr="00D13FA8">
        <w:rPr>
          <w:rFonts w:ascii="Arial" w:hAnsi="Arial" w:cs="Arial"/>
          <w:b/>
          <w:sz w:val="22"/>
          <w:szCs w:val="22"/>
        </w:rPr>
        <w:t>ACS - 17572</w:t>
      </w:r>
    </w:p>
    <w:p w14:paraId="7A3A94CE" w14:textId="77777777" w:rsidR="00806CE9" w:rsidRPr="00D13FA8" w:rsidRDefault="00806CE9" w:rsidP="00806CE9">
      <w:pPr>
        <w:jc w:val="both"/>
        <w:rPr>
          <w:rFonts w:ascii="Arial" w:hAnsi="Arial" w:cs="Arial"/>
          <w:b/>
          <w:sz w:val="22"/>
          <w:szCs w:val="22"/>
        </w:rPr>
      </w:pPr>
    </w:p>
    <w:p w14:paraId="346B9FD1" w14:textId="5B60BD2D" w:rsidR="00806CE9" w:rsidRPr="00806CE9" w:rsidRDefault="00315481" w:rsidP="00806CE9">
      <w:pPr>
        <w:jc w:val="both"/>
        <w:rPr>
          <w:rFonts w:ascii="Arial" w:hAnsi="Arial" w:cs="Arial"/>
          <w:sz w:val="22"/>
          <w:szCs w:val="22"/>
        </w:rPr>
      </w:pPr>
      <w:r>
        <w:rPr>
          <w:rFonts w:ascii="Arial" w:hAnsi="Arial" w:cs="Arial"/>
          <w:sz w:val="22"/>
          <w:szCs w:val="22"/>
        </w:rPr>
        <w:t>Encl.: As Above</w:t>
      </w:r>
    </w:p>
    <w:p w14:paraId="1FDEEDDE" w14:textId="77777777" w:rsidR="00806CE9" w:rsidRPr="00806CE9" w:rsidRDefault="00806CE9" w:rsidP="00806CE9">
      <w:pPr>
        <w:jc w:val="both"/>
        <w:rPr>
          <w:rFonts w:ascii="Arial" w:hAnsi="Arial" w:cs="Arial"/>
          <w:sz w:val="22"/>
          <w:szCs w:val="22"/>
        </w:rPr>
      </w:pPr>
    </w:p>
    <w:p w14:paraId="6124AB35" w14:textId="77777777" w:rsidR="00BF1F73" w:rsidRPr="00806CE9" w:rsidRDefault="00BF1F73" w:rsidP="00806CE9">
      <w:pPr>
        <w:rPr>
          <w:rFonts w:ascii="Arial" w:hAnsi="Arial" w:cs="Arial"/>
          <w:sz w:val="22"/>
          <w:szCs w:val="22"/>
        </w:rPr>
      </w:pPr>
    </w:p>
    <w:sectPr w:rsidR="00BF1F73" w:rsidRPr="00806CE9" w:rsidSect="003D2DAD">
      <w:headerReference w:type="default" r:id="rId8"/>
      <w:footerReference w:type="default" r:id="rId9"/>
      <w:pgSz w:w="11906" w:h="16838"/>
      <w:pgMar w:top="1264" w:right="1196" w:bottom="126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6BA1" w14:textId="77777777" w:rsidR="00B67EFB" w:rsidRDefault="00B67EFB">
      <w:r>
        <w:separator/>
      </w:r>
    </w:p>
  </w:endnote>
  <w:endnote w:type="continuationSeparator" w:id="0">
    <w:p w14:paraId="4C9B89F9" w14:textId="77777777" w:rsidR="00B67EFB" w:rsidRDefault="00B6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17A1" w14:textId="77777777" w:rsidR="00FC7C83" w:rsidRDefault="00FC7C83">
    <w:pPr>
      <w:pStyle w:val="Footer"/>
    </w:pPr>
    <w:proofErr w:type="spellStart"/>
    <w:r>
      <w:rPr>
        <w:rFonts w:ascii="Arial" w:hAnsi="Arial" w:cs="Arial"/>
        <w:b/>
        <w:sz w:val="17"/>
        <w:szCs w:val="17"/>
      </w:rPr>
      <w:t>Regd</w:t>
    </w:r>
    <w:proofErr w:type="spellEnd"/>
    <w:r>
      <w:rPr>
        <w:rFonts w:ascii="Arial" w:hAnsi="Arial" w:cs="Arial"/>
        <w:b/>
        <w:sz w:val="17"/>
        <w:szCs w:val="17"/>
      </w:rPr>
      <w:t xml:space="preserve"> Office: Plot No. 3, HAF Pocket, Sector 18A, Dwarka, New Delhi-110075</w:t>
    </w:r>
  </w:p>
  <w:p w14:paraId="5CE751CE" w14:textId="77777777" w:rsidR="00FC7C83" w:rsidRDefault="00FC7C83">
    <w:pPr>
      <w:pStyle w:val="Footer"/>
      <w:jc w:val="right"/>
    </w:pPr>
  </w:p>
  <w:p w14:paraId="313A2F44" w14:textId="77777777" w:rsidR="00FC7C83" w:rsidRDefault="00FC7C83">
    <w:pPr>
      <w:pStyle w:val="Foo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1B30" w14:textId="77777777" w:rsidR="00B67EFB" w:rsidRDefault="00B67EFB">
      <w:r>
        <w:separator/>
      </w:r>
    </w:p>
  </w:footnote>
  <w:footnote w:type="continuationSeparator" w:id="0">
    <w:p w14:paraId="5F87AEB5" w14:textId="77777777" w:rsidR="00B67EFB" w:rsidRDefault="00B67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49F1" w14:textId="77777777" w:rsidR="00FC7C83" w:rsidRDefault="00B35559">
    <w:pPr>
      <w:jc w:val="right"/>
      <w:rPr>
        <w:sz w:val="16"/>
        <w:szCs w:val="16"/>
      </w:rPr>
    </w:pPr>
    <w:r>
      <w:rPr>
        <w:b/>
        <w:bCs/>
        <w:noProof/>
        <w:lang w:eastAsia="en-US"/>
      </w:rPr>
      <w:drawing>
        <wp:inline distT="0" distB="0" distL="0" distR="0" wp14:anchorId="097E39F0" wp14:editId="4A815B2B">
          <wp:extent cx="3495675" cy="2286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95675" cy="228600"/>
                  </a:xfrm>
                  <a:prstGeom prst="rect">
                    <a:avLst/>
                  </a:prstGeom>
                  <a:solidFill>
                    <a:srgbClr val="FFFFFF"/>
                  </a:solidFill>
                  <a:ln w="9525">
                    <a:noFill/>
                    <a:miter lim="800000"/>
                    <a:headEnd/>
                    <a:tailEnd/>
                  </a:ln>
                </pic:spPr>
              </pic:pic>
            </a:graphicData>
          </a:graphic>
        </wp:inline>
      </w:drawing>
    </w:r>
  </w:p>
  <w:p w14:paraId="1A057EB7" w14:textId="77777777" w:rsidR="00FC7C83" w:rsidRDefault="00FC7C83">
    <w:pPr>
      <w:jc w:val="right"/>
      <w:rPr>
        <w:sz w:val="16"/>
        <w:szCs w:val="16"/>
      </w:rPr>
    </w:pPr>
    <w:r>
      <w:rPr>
        <w:sz w:val="16"/>
        <w:szCs w:val="16"/>
      </w:rPr>
      <w:t>5</w:t>
    </w:r>
    <w:r>
      <w:rPr>
        <w:sz w:val="16"/>
        <w:szCs w:val="16"/>
        <w:vertAlign w:val="superscript"/>
      </w:rPr>
      <w:t>th</w:t>
    </w:r>
    <w:r>
      <w:rPr>
        <w:sz w:val="16"/>
        <w:szCs w:val="16"/>
      </w:rPr>
      <w:t xml:space="preserve"> Floor, Transcorp Towers,</w:t>
    </w:r>
  </w:p>
  <w:p w14:paraId="5FDAF5FD" w14:textId="77777777" w:rsidR="00FC7C83" w:rsidRDefault="00FC7C83">
    <w:pPr>
      <w:jc w:val="right"/>
      <w:rPr>
        <w:sz w:val="16"/>
        <w:szCs w:val="16"/>
      </w:rPr>
    </w:pPr>
    <w:r>
      <w:rPr>
        <w:sz w:val="16"/>
        <w:szCs w:val="16"/>
      </w:rPr>
      <w:t>Moti Doongri Road,</w:t>
    </w:r>
  </w:p>
  <w:p w14:paraId="6E1BDDFF" w14:textId="77777777" w:rsidR="00FC7C83" w:rsidRDefault="00FC7C83">
    <w:pPr>
      <w:jc w:val="right"/>
      <w:rPr>
        <w:sz w:val="16"/>
        <w:szCs w:val="16"/>
      </w:rPr>
    </w:pPr>
    <w:r>
      <w:rPr>
        <w:sz w:val="16"/>
        <w:szCs w:val="16"/>
      </w:rPr>
      <w:t>Jaipur-302004 (Rajasthan)</w:t>
    </w:r>
  </w:p>
  <w:p w14:paraId="3E207FD7" w14:textId="77777777" w:rsidR="00FC7C83" w:rsidRDefault="00FC7C83">
    <w:pPr>
      <w:jc w:val="right"/>
      <w:rPr>
        <w:sz w:val="16"/>
        <w:szCs w:val="16"/>
      </w:rPr>
    </w:pPr>
    <w:r>
      <w:rPr>
        <w:sz w:val="16"/>
        <w:szCs w:val="16"/>
      </w:rPr>
      <w:t>Telephone: 2363888, 23639999</w:t>
    </w:r>
  </w:p>
  <w:p w14:paraId="7FD52CD9" w14:textId="77777777" w:rsidR="00FC7C83" w:rsidRDefault="00FC7C83">
    <w:pPr>
      <w:jc w:val="right"/>
      <w:rPr>
        <w:sz w:val="16"/>
        <w:szCs w:val="16"/>
      </w:rPr>
    </w:pPr>
    <w:r>
      <w:rPr>
        <w:sz w:val="16"/>
        <w:szCs w:val="16"/>
      </w:rPr>
      <w:t>Fax: 91-141-237 2066</w:t>
    </w:r>
  </w:p>
  <w:p w14:paraId="3026878E" w14:textId="77777777" w:rsidR="00FC7C83" w:rsidRDefault="00FC7C83">
    <w:pPr>
      <w:jc w:val="right"/>
      <w:rPr>
        <w:sz w:val="16"/>
        <w:szCs w:val="16"/>
      </w:rPr>
    </w:pPr>
    <w:proofErr w:type="gramStart"/>
    <w:r>
      <w:rPr>
        <w:sz w:val="16"/>
        <w:szCs w:val="16"/>
      </w:rPr>
      <w:t>CIN:L</w:t>
    </w:r>
    <w:proofErr w:type="gramEnd"/>
    <w:r>
      <w:rPr>
        <w:sz w:val="16"/>
        <w:szCs w:val="16"/>
      </w:rPr>
      <w:t>51909DL1994PLC235697</w:t>
    </w:r>
  </w:p>
  <w:p w14:paraId="512B1CD7" w14:textId="77777777" w:rsidR="00FC7C83" w:rsidRPr="002D412A" w:rsidRDefault="00FC7C83">
    <w:pPr>
      <w:jc w:val="right"/>
      <w:rPr>
        <w:sz w:val="16"/>
        <w:szCs w:val="16"/>
      </w:rPr>
    </w:pPr>
    <w:r w:rsidRPr="002D412A">
      <w:rPr>
        <w:sz w:val="16"/>
        <w:szCs w:val="16"/>
      </w:rPr>
      <w:t xml:space="preserve">Web-Site: </w:t>
    </w:r>
    <w:hyperlink r:id="rId2" w:history="1">
      <w:r w:rsidRPr="002D412A">
        <w:rPr>
          <w:rStyle w:val="Hyperlink"/>
          <w:sz w:val="16"/>
          <w:szCs w:val="16"/>
        </w:rPr>
        <w:t>www.transcorpint.com</w:t>
      </w:r>
    </w:hyperlink>
    <w:r w:rsidRPr="002D412A">
      <w:rPr>
        <w:sz w:val="16"/>
        <w:szCs w:val="16"/>
      </w:rPr>
      <w:t xml:space="preserve"> </w:t>
    </w:r>
  </w:p>
  <w:p w14:paraId="7DFE3E2A" w14:textId="091BA6D7" w:rsidR="00FC7C83" w:rsidRPr="002D412A" w:rsidRDefault="00FC7C83" w:rsidP="00A81529">
    <w:pPr>
      <w:jc w:val="right"/>
      <w:rPr>
        <w:sz w:val="16"/>
        <w:szCs w:val="16"/>
      </w:rPr>
    </w:pPr>
    <w:r w:rsidRPr="002D412A">
      <w:rPr>
        <w:sz w:val="16"/>
        <w:szCs w:val="16"/>
      </w:rPr>
      <w:t xml:space="preserve">E-mail: </w:t>
    </w:r>
    <w:hyperlink r:id="rId3" w:history="1">
      <w:r w:rsidR="002D5832">
        <w:rPr>
          <w:rStyle w:val="Hyperlink"/>
          <w:sz w:val="16"/>
          <w:szCs w:val="16"/>
        </w:rPr>
        <w:t>dilip@transcorpint.com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CC1E0D"/>
    <w:multiLevelType w:val="hybridMultilevel"/>
    <w:tmpl w:val="0DB2E3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3116458"/>
    <w:multiLevelType w:val="hybridMultilevel"/>
    <w:tmpl w:val="DC401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065C8"/>
    <w:multiLevelType w:val="hybridMultilevel"/>
    <w:tmpl w:val="1AD604A0"/>
    <w:lvl w:ilvl="0" w:tplc="40090017">
      <w:start w:val="1"/>
      <w:numFmt w:val="lowerLetter"/>
      <w:lvlText w:val="%1)"/>
      <w:lvlJc w:val="left"/>
      <w:pPr>
        <w:ind w:left="370" w:hanging="360"/>
      </w:pPr>
      <w:rPr>
        <w:rFonts w:hint="default"/>
        <w:b w:val="0"/>
        <w:u w:val="none"/>
      </w:rPr>
    </w:lvl>
    <w:lvl w:ilvl="1" w:tplc="40090019" w:tentative="1">
      <w:start w:val="1"/>
      <w:numFmt w:val="lowerLetter"/>
      <w:lvlText w:val="%2."/>
      <w:lvlJc w:val="left"/>
      <w:pPr>
        <w:ind w:left="1090" w:hanging="360"/>
      </w:pPr>
    </w:lvl>
    <w:lvl w:ilvl="2" w:tplc="4009001B" w:tentative="1">
      <w:start w:val="1"/>
      <w:numFmt w:val="lowerRoman"/>
      <w:lvlText w:val="%3."/>
      <w:lvlJc w:val="right"/>
      <w:pPr>
        <w:ind w:left="1810" w:hanging="180"/>
      </w:pPr>
    </w:lvl>
    <w:lvl w:ilvl="3" w:tplc="4009000F" w:tentative="1">
      <w:start w:val="1"/>
      <w:numFmt w:val="decimal"/>
      <w:lvlText w:val="%4."/>
      <w:lvlJc w:val="left"/>
      <w:pPr>
        <w:ind w:left="2530" w:hanging="360"/>
      </w:pPr>
    </w:lvl>
    <w:lvl w:ilvl="4" w:tplc="40090019" w:tentative="1">
      <w:start w:val="1"/>
      <w:numFmt w:val="lowerLetter"/>
      <w:lvlText w:val="%5."/>
      <w:lvlJc w:val="left"/>
      <w:pPr>
        <w:ind w:left="3250" w:hanging="360"/>
      </w:pPr>
    </w:lvl>
    <w:lvl w:ilvl="5" w:tplc="4009001B" w:tentative="1">
      <w:start w:val="1"/>
      <w:numFmt w:val="lowerRoman"/>
      <w:lvlText w:val="%6."/>
      <w:lvlJc w:val="right"/>
      <w:pPr>
        <w:ind w:left="3970" w:hanging="180"/>
      </w:pPr>
    </w:lvl>
    <w:lvl w:ilvl="6" w:tplc="4009000F" w:tentative="1">
      <w:start w:val="1"/>
      <w:numFmt w:val="decimal"/>
      <w:lvlText w:val="%7."/>
      <w:lvlJc w:val="left"/>
      <w:pPr>
        <w:ind w:left="4690" w:hanging="360"/>
      </w:pPr>
    </w:lvl>
    <w:lvl w:ilvl="7" w:tplc="40090019" w:tentative="1">
      <w:start w:val="1"/>
      <w:numFmt w:val="lowerLetter"/>
      <w:lvlText w:val="%8."/>
      <w:lvlJc w:val="left"/>
      <w:pPr>
        <w:ind w:left="5410" w:hanging="360"/>
      </w:pPr>
    </w:lvl>
    <w:lvl w:ilvl="8" w:tplc="4009001B" w:tentative="1">
      <w:start w:val="1"/>
      <w:numFmt w:val="lowerRoman"/>
      <w:lvlText w:val="%9."/>
      <w:lvlJc w:val="right"/>
      <w:pPr>
        <w:ind w:left="6130" w:hanging="180"/>
      </w:pPr>
    </w:lvl>
  </w:abstractNum>
  <w:abstractNum w:abstractNumId="4" w15:restartNumberingAfterBreak="0">
    <w:nsid w:val="15E52DEF"/>
    <w:multiLevelType w:val="multilevel"/>
    <w:tmpl w:val="D93420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227CE"/>
    <w:multiLevelType w:val="multilevel"/>
    <w:tmpl w:val="7660D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904F47"/>
    <w:multiLevelType w:val="hybridMultilevel"/>
    <w:tmpl w:val="24CC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04AE3"/>
    <w:multiLevelType w:val="hybridMultilevel"/>
    <w:tmpl w:val="43068D20"/>
    <w:lvl w:ilvl="0" w:tplc="A96C040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43C05AE2"/>
    <w:multiLevelType w:val="multilevel"/>
    <w:tmpl w:val="ACC0F4D4"/>
    <w:lvl w:ilvl="0">
      <w:start w:val="1"/>
      <w:numFmt w:val="decimal"/>
      <w:lvlText w:val="%1."/>
      <w:lvlJc w:val="left"/>
      <w:pPr>
        <w:ind w:left="720" w:hanging="360"/>
      </w:pPr>
      <w:rPr>
        <w:b w:val="0"/>
        <w:sz w:val="22"/>
        <w:szCs w:val="22"/>
      </w:rPr>
    </w:lvl>
    <w:lvl w:ilvl="1">
      <w:start w:val="2"/>
      <w:numFmt w:val="decimal"/>
      <w:lvlText w:val="%1.%2"/>
      <w:lvlJc w:val="left"/>
      <w:pPr>
        <w:ind w:left="855" w:hanging="49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15:restartNumberingAfterBreak="0">
    <w:nsid w:val="44FF2241"/>
    <w:multiLevelType w:val="hybridMultilevel"/>
    <w:tmpl w:val="24CC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9424F"/>
    <w:multiLevelType w:val="hybridMultilevel"/>
    <w:tmpl w:val="5CEEA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856C9"/>
    <w:multiLevelType w:val="hybridMultilevel"/>
    <w:tmpl w:val="24CC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F4425"/>
    <w:multiLevelType w:val="hybridMultilevel"/>
    <w:tmpl w:val="F21A7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0310BC7"/>
    <w:multiLevelType w:val="hybridMultilevel"/>
    <w:tmpl w:val="ADAC4BC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145684C"/>
    <w:multiLevelType w:val="hybridMultilevel"/>
    <w:tmpl w:val="F8EE501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6BA158D0"/>
    <w:multiLevelType w:val="hybridMultilevel"/>
    <w:tmpl w:val="77D24746"/>
    <w:lvl w:ilvl="0" w:tplc="A1C45812">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75B15911"/>
    <w:multiLevelType w:val="hybridMultilevel"/>
    <w:tmpl w:val="5CEEA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839511">
    <w:abstractNumId w:val="0"/>
  </w:num>
  <w:num w:numId="2" w16cid:durableId="1843885209">
    <w:abstractNumId w:val="9"/>
  </w:num>
  <w:num w:numId="3" w16cid:durableId="537208531">
    <w:abstractNumId w:val="16"/>
  </w:num>
  <w:num w:numId="4" w16cid:durableId="1606231253">
    <w:abstractNumId w:val="11"/>
  </w:num>
  <w:num w:numId="5" w16cid:durableId="551774160">
    <w:abstractNumId w:val="10"/>
  </w:num>
  <w:num w:numId="6" w16cid:durableId="749741447">
    <w:abstractNumId w:val="6"/>
  </w:num>
  <w:num w:numId="7" w16cid:durableId="15053936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6870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016483">
    <w:abstractNumId w:val="1"/>
  </w:num>
  <w:num w:numId="10" w16cid:durableId="1778868826">
    <w:abstractNumId w:val="2"/>
  </w:num>
  <w:num w:numId="11" w16cid:durableId="214974284">
    <w:abstractNumId w:val="8"/>
  </w:num>
  <w:num w:numId="12" w16cid:durableId="2082831222">
    <w:abstractNumId w:val="5"/>
  </w:num>
  <w:num w:numId="13" w16cid:durableId="1069881850">
    <w:abstractNumId w:val="4"/>
  </w:num>
  <w:num w:numId="14" w16cid:durableId="1892182090">
    <w:abstractNumId w:val="14"/>
  </w:num>
  <w:num w:numId="15" w16cid:durableId="547035371">
    <w:abstractNumId w:val="13"/>
  </w:num>
  <w:num w:numId="16" w16cid:durableId="920914510">
    <w:abstractNumId w:val="15"/>
  </w:num>
  <w:num w:numId="17" w16cid:durableId="2094736823">
    <w:abstractNumId w:val="3"/>
  </w:num>
  <w:num w:numId="18" w16cid:durableId="2878626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7D"/>
    <w:rsid w:val="00001646"/>
    <w:rsid w:val="00020678"/>
    <w:rsid w:val="00024034"/>
    <w:rsid w:val="000401F2"/>
    <w:rsid w:val="000778C7"/>
    <w:rsid w:val="00083924"/>
    <w:rsid w:val="000A2BB3"/>
    <w:rsid w:val="000C2324"/>
    <w:rsid w:val="000E70AB"/>
    <w:rsid w:val="000F5E6A"/>
    <w:rsid w:val="000F63AB"/>
    <w:rsid w:val="001118BF"/>
    <w:rsid w:val="001231F8"/>
    <w:rsid w:val="00162E62"/>
    <w:rsid w:val="0016511A"/>
    <w:rsid w:val="00180BD7"/>
    <w:rsid w:val="0019122B"/>
    <w:rsid w:val="001A1E82"/>
    <w:rsid w:val="001A2F76"/>
    <w:rsid w:val="001B1EFB"/>
    <w:rsid w:val="001C2BAE"/>
    <w:rsid w:val="001D4046"/>
    <w:rsid w:val="001D4FBF"/>
    <w:rsid w:val="001E699B"/>
    <w:rsid w:val="001E7EAB"/>
    <w:rsid w:val="00211909"/>
    <w:rsid w:val="0022629E"/>
    <w:rsid w:val="00236E40"/>
    <w:rsid w:val="002433BB"/>
    <w:rsid w:val="00244249"/>
    <w:rsid w:val="002471EA"/>
    <w:rsid w:val="00250754"/>
    <w:rsid w:val="00254775"/>
    <w:rsid w:val="002632E2"/>
    <w:rsid w:val="00267CC5"/>
    <w:rsid w:val="0027322C"/>
    <w:rsid w:val="00282D10"/>
    <w:rsid w:val="002A1CBE"/>
    <w:rsid w:val="002A7236"/>
    <w:rsid w:val="002A7DCA"/>
    <w:rsid w:val="002B4A07"/>
    <w:rsid w:val="002C1BEB"/>
    <w:rsid w:val="002D412A"/>
    <w:rsid w:val="002D5832"/>
    <w:rsid w:val="002E1C87"/>
    <w:rsid w:val="002E6A8D"/>
    <w:rsid w:val="002F6A8C"/>
    <w:rsid w:val="00315481"/>
    <w:rsid w:val="00316FB6"/>
    <w:rsid w:val="00322AAE"/>
    <w:rsid w:val="00336FA4"/>
    <w:rsid w:val="00340D80"/>
    <w:rsid w:val="00350C2F"/>
    <w:rsid w:val="003726D7"/>
    <w:rsid w:val="00386BD9"/>
    <w:rsid w:val="003A2B92"/>
    <w:rsid w:val="003B7C92"/>
    <w:rsid w:val="003C6C27"/>
    <w:rsid w:val="003D2DAD"/>
    <w:rsid w:val="003E6C68"/>
    <w:rsid w:val="004007C8"/>
    <w:rsid w:val="004151DA"/>
    <w:rsid w:val="00423A13"/>
    <w:rsid w:val="00423AB3"/>
    <w:rsid w:val="0042513E"/>
    <w:rsid w:val="00435A4F"/>
    <w:rsid w:val="0045025E"/>
    <w:rsid w:val="004540CD"/>
    <w:rsid w:val="00460B50"/>
    <w:rsid w:val="0049062B"/>
    <w:rsid w:val="004B7C1D"/>
    <w:rsid w:val="005014A1"/>
    <w:rsid w:val="00524C20"/>
    <w:rsid w:val="00533DBD"/>
    <w:rsid w:val="00537A86"/>
    <w:rsid w:val="00546AFC"/>
    <w:rsid w:val="00547254"/>
    <w:rsid w:val="00561A42"/>
    <w:rsid w:val="005872EA"/>
    <w:rsid w:val="005A12F1"/>
    <w:rsid w:val="005A2A1B"/>
    <w:rsid w:val="005A4C35"/>
    <w:rsid w:val="005B2588"/>
    <w:rsid w:val="005C1621"/>
    <w:rsid w:val="005C1829"/>
    <w:rsid w:val="005D505A"/>
    <w:rsid w:val="005E06F1"/>
    <w:rsid w:val="005E4D56"/>
    <w:rsid w:val="005F22C1"/>
    <w:rsid w:val="00605C68"/>
    <w:rsid w:val="006105D2"/>
    <w:rsid w:val="00656C99"/>
    <w:rsid w:val="00672506"/>
    <w:rsid w:val="0068568E"/>
    <w:rsid w:val="00693CAE"/>
    <w:rsid w:val="006C21D1"/>
    <w:rsid w:val="006C7A07"/>
    <w:rsid w:val="006D44B3"/>
    <w:rsid w:val="006D7EEA"/>
    <w:rsid w:val="006F2539"/>
    <w:rsid w:val="0070240F"/>
    <w:rsid w:val="00717AD2"/>
    <w:rsid w:val="00733155"/>
    <w:rsid w:val="0074100A"/>
    <w:rsid w:val="00741A8D"/>
    <w:rsid w:val="007428ED"/>
    <w:rsid w:val="00752FFF"/>
    <w:rsid w:val="00754D94"/>
    <w:rsid w:val="00755569"/>
    <w:rsid w:val="00755C04"/>
    <w:rsid w:val="00773692"/>
    <w:rsid w:val="00776853"/>
    <w:rsid w:val="00785650"/>
    <w:rsid w:val="00793863"/>
    <w:rsid w:val="007A4B4A"/>
    <w:rsid w:val="007B2B01"/>
    <w:rsid w:val="007B707E"/>
    <w:rsid w:val="007D43F9"/>
    <w:rsid w:val="007E53F1"/>
    <w:rsid w:val="007E5D0B"/>
    <w:rsid w:val="007E7ADA"/>
    <w:rsid w:val="007F167D"/>
    <w:rsid w:val="007F24B9"/>
    <w:rsid w:val="00806CE9"/>
    <w:rsid w:val="00824B40"/>
    <w:rsid w:val="00841691"/>
    <w:rsid w:val="00841A85"/>
    <w:rsid w:val="00874D56"/>
    <w:rsid w:val="008A2A0A"/>
    <w:rsid w:val="008B336D"/>
    <w:rsid w:val="008B41FD"/>
    <w:rsid w:val="008C3ADD"/>
    <w:rsid w:val="008D15C0"/>
    <w:rsid w:val="008D361B"/>
    <w:rsid w:val="008F1C23"/>
    <w:rsid w:val="00926E5E"/>
    <w:rsid w:val="0095222D"/>
    <w:rsid w:val="00980E82"/>
    <w:rsid w:val="009852E4"/>
    <w:rsid w:val="00996D8C"/>
    <w:rsid w:val="009B3AF3"/>
    <w:rsid w:val="009B7945"/>
    <w:rsid w:val="009C2797"/>
    <w:rsid w:val="009C30E8"/>
    <w:rsid w:val="009D4780"/>
    <w:rsid w:val="00A01DC1"/>
    <w:rsid w:val="00A233C3"/>
    <w:rsid w:val="00A372B7"/>
    <w:rsid w:val="00A6018A"/>
    <w:rsid w:val="00A63CB6"/>
    <w:rsid w:val="00A71341"/>
    <w:rsid w:val="00A71D85"/>
    <w:rsid w:val="00A72D23"/>
    <w:rsid w:val="00A75F2B"/>
    <w:rsid w:val="00A81529"/>
    <w:rsid w:val="00AA1438"/>
    <w:rsid w:val="00AA4009"/>
    <w:rsid w:val="00AB2DFD"/>
    <w:rsid w:val="00AB2EDB"/>
    <w:rsid w:val="00AB69CD"/>
    <w:rsid w:val="00AB73D5"/>
    <w:rsid w:val="00AD1C00"/>
    <w:rsid w:val="00AD4762"/>
    <w:rsid w:val="00AD764F"/>
    <w:rsid w:val="00AE1A76"/>
    <w:rsid w:val="00AE6A5E"/>
    <w:rsid w:val="00AF2029"/>
    <w:rsid w:val="00B055AF"/>
    <w:rsid w:val="00B1092D"/>
    <w:rsid w:val="00B1576A"/>
    <w:rsid w:val="00B206A2"/>
    <w:rsid w:val="00B35559"/>
    <w:rsid w:val="00B47D85"/>
    <w:rsid w:val="00B5057B"/>
    <w:rsid w:val="00B5671E"/>
    <w:rsid w:val="00B56F52"/>
    <w:rsid w:val="00B64A6E"/>
    <w:rsid w:val="00B67EFB"/>
    <w:rsid w:val="00B90FCB"/>
    <w:rsid w:val="00B943E0"/>
    <w:rsid w:val="00B960A0"/>
    <w:rsid w:val="00B97B05"/>
    <w:rsid w:val="00BA3BC6"/>
    <w:rsid w:val="00BA4A40"/>
    <w:rsid w:val="00BB0D14"/>
    <w:rsid w:val="00BC6FD1"/>
    <w:rsid w:val="00BD4E4B"/>
    <w:rsid w:val="00BE688F"/>
    <w:rsid w:val="00BF1F73"/>
    <w:rsid w:val="00C07300"/>
    <w:rsid w:val="00C12C30"/>
    <w:rsid w:val="00C1470A"/>
    <w:rsid w:val="00C263FA"/>
    <w:rsid w:val="00C34969"/>
    <w:rsid w:val="00C45E40"/>
    <w:rsid w:val="00C60A36"/>
    <w:rsid w:val="00C62A7E"/>
    <w:rsid w:val="00C657CB"/>
    <w:rsid w:val="00C67A20"/>
    <w:rsid w:val="00C74069"/>
    <w:rsid w:val="00C7657F"/>
    <w:rsid w:val="00CA77AF"/>
    <w:rsid w:val="00CB2EB9"/>
    <w:rsid w:val="00CB3D6A"/>
    <w:rsid w:val="00CC4ABF"/>
    <w:rsid w:val="00CD36CB"/>
    <w:rsid w:val="00CE1090"/>
    <w:rsid w:val="00CE2AFB"/>
    <w:rsid w:val="00CF2F08"/>
    <w:rsid w:val="00CF523F"/>
    <w:rsid w:val="00D00697"/>
    <w:rsid w:val="00D06596"/>
    <w:rsid w:val="00D07498"/>
    <w:rsid w:val="00D13FA8"/>
    <w:rsid w:val="00D27970"/>
    <w:rsid w:val="00D279FD"/>
    <w:rsid w:val="00D63630"/>
    <w:rsid w:val="00D64503"/>
    <w:rsid w:val="00D80A4E"/>
    <w:rsid w:val="00D86B1B"/>
    <w:rsid w:val="00D906CA"/>
    <w:rsid w:val="00DB2238"/>
    <w:rsid w:val="00DD107D"/>
    <w:rsid w:val="00DD354B"/>
    <w:rsid w:val="00DE069F"/>
    <w:rsid w:val="00DE3D12"/>
    <w:rsid w:val="00E25925"/>
    <w:rsid w:val="00E50314"/>
    <w:rsid w:val="00E5525C"/>
    <w:rsid w:val="00E750DF"/>
    <w:rsid w:val="00E873AC"/>
    <w:rsid w:val="00EA0D84"/>
    <w:rsid w:val="00EA28AF"/>
    <w:rsid w:val="00EB377E"/>
    <w:rsid w:val="00ED617E"/>
    <w:rsid w:val="00EE3B82"/>
    <w:rsid w:val="00EF1A6D"/>
    <w:rsid w:val="00F36EE7"/>
    <w:rsid w:val="00F412E4"/>
    <w:rsid w:val="00F51845"/>
    <w:rsid w:val="00F51D0D"/>
    <w:rsid w:val="00F76E1A"/>
    <w:rsid w:val="00F77F5C"/>
    <w:rsid w:val="00F81A57"/>
    <w:rsid w:val="00FA7C39"/>
    <w:rsid w:val="00FB38B3"/>
    <w:rsid w:val="00FC3810"/>
    <w:rsid w:val="00FC7C83"/>
    <w:rsid w:val="00FD5FF7"/>
    <w:rsid w:val="00FF10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5E59E9"/>
  <w15:docId w15:val="{DDFD7E13-ADEA-4FC8-9891-E382ED4D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780"/>
    <w:pPr>
      <w:suppressAutoHyphens/>
    </w:pPr>
    <w:rPr>
      <w:sz w:val="24"/>
      <w:szCs w:val="24"/>
      <w:lang w:eastAsia="ar-SA"/>
    </w:rPr>
  </w:style>
  <w:style w:type="paragraph" w:styleId="Heading1">
    <w:name w:val="heading 1"/>
    <w:basedOn w:val="Normal"/>
    <w:next w:val="Normal"/>
    <w:uiPriority w:val="9"/>
    <w:qFormat/>
    <w:rsid w:val="009D4780"/>
    <w:pPr>
      <w:keepNext/>
      <w:tabs>
        <w:tab w:val="num" w:pos="432"/>
      </w:tabs>
      <w:ind w:left="432" w:hanging="432"/>
      <w:outlineLvl w:val="0"/>
    </w:pPr>
    <w:rPr>
      <w:rFonts w:ascii="Verdana" w:hAnsi="Verdana" w:cs="Verdana"/>
      <w:b/>
      <w:sz w:val="28"/>
      <w:u w:val="single"/>
      <w:lang w:val="en-GB"/>
    </w:rPr>
  </w:style>
  <w:style w:type="paragraph" w:styleId="Heading2">
    <w:name w:val="heading 2"/>
    <w:basedOn w:val="Normal"/>
    <w:next w:val="Normal"/>
    <w:uiPriority w:val="9"/>
    <w:qFormat/>
    <w:rsid w:val="009D4780"/>
    <w:pPr>
      <w:keepNext/>
      <w:tabs>
        <w:tab w:val="num" w:pos="576"/>
      </w:tabs>
      <w:ind w:left="576" w:hanging="576"/>
      <w:jc w:val="center"/>
      <w:outlineLvl w:val="1"/>
    </w:pPr>
    <w:rPr>
      <w:rFonts w:ascii="Verdana" w:hAnsi="Verdana" w:cs="Verdana"/>
      <w:b/>
      <w:bCs/>
      <w:lang w:val="en-GB"/>
    </w:rPr>
  </w:style>
  <w:style w:type="paragraph" w:styleId="Heading3">
    <w:name w:val="heading 3"/>
    <w:basedOn w:val="Normal"/>
    <w:next w:val="Normal"/>
    <w:link w:val="Heading3Char"/>
    <w:uiPriority w:val="9"/>
    <w:semiHidden/>
    <w:unhideWhenUsed/>
    <w:qFormat/>
    <w:rsid w:val="00EB377E"/>
    <w:pPr>
      <w:keepNext/>
      <w:keepLines/>
      <w:suppressAutoHyphens w:val="0"/>
      <w:spacing w:before="320" w:after="80" w:line="276" w:lineRule="auto"/>
      <w:outlineLvl w:val="2"/>
    </w:pPr>
    <w:rPr>
      <w:rFonts w:ascii="Arial" w:eastAsia="Arial" w:hAnsi="Arial" w:cs="Arial"/>
      <w:color w:val="434343"/>
      <w:sz w:val="28"/>
      <w:szCs w:val="28"/>
      <w:lang w:val="en" w:eastAsia="en-GB"/>
    </w:rPr>
  </w:style>
  <w:style w:type="paragraph" w:styleId="Heading4">
    <w:name w:val="heading 4"/>
    <w:basedOn w:val="Normal"/>
    <w:next w:val="Normal"/>
    <w:link w:val="Heading4Char"/>
    <w:uiPriority w:val="9"/>
    <w:semiHidden/>
    <w:unhideWhenUsed/>
    <w:qFormat/>
    <w:rsid w:val="00EB377E"/>
    <w:pPr>
      <w:keepNext/>
      <w:keepLines/>
      <w:suppressAutoHyphens w:val="0"/>
      <w:spacing w:before="280" w:after="80" w:line="276" w:lineRule="auto"/>
      <w:outlineLvl w:val="3"/>
    </w:pPr>
    <w:rPr>
      <w:rFonts w:ascii="Arial" w:eastAsia="Arial" w:hAnsi="Arial" w:cs="Arial"/>
      <w:color w:val="666666"/>
      <w:lang w:val="en" w:eastAsia="en-GB"/>
    </w:rPr>
  </w:style>
  <w:style w:type="paragraph" w:styleId="Heading5">
    <w:name w:val="heading 5"/>
    <w:basedOn w:val="Normal"/>
    <w:next w:val="Normal"/>
    <w:link w:val="Heading5Char"/>
    <w:uiPriority w:val="9"/>
    <w:semiHidden/>
    <w:unhideWhenUsed/>
    <w:qFormat/>
    <w:rsid w:val="00EB377E"/>
    <w:pPr>
      <w:keepNext/>
      <w:keepLines/>
      <w:suppressAutoHyphens w:val="0"/>
      <w:spacing w:before="240" w:after="80" w:line="276" w:lineRule="auto"/>
      <w:outlineLvl w:val="4"/>
    </w:pPr>
    <w:rPr>
      <w:rFonts w:ascii="Arial" w:eastAsia="Arial" w:hAnsi="Arial" w:cs="Arial"/>
      <w:color w:val="666666"/>
      <w:sz w:val="22"/>
      <w:szCs w:val="22"/>
      <w:lang w:val="en" w:eastAsia="en-GB"/>
    </w:rPr>
  </w:style>
  <w:style w:type="paragraph" w:styleId="Heading6">
    <w:name w:val="heading 6"/>
    <w:basedOn w:val="Normal"/>
    <w:next w:val="Normal"/>
    <w:link w:val="Heading6Char"/>
    <w:uiPriority w:val="9"/>
    <w:semiHidden/>
    <w:unhideWhenUsed/>
    <w:qFormat/>
    <w:rsid w:val="00EB377E"/>
    <w:pPr>
      <w:keepNext/>
      <w:keepLines/>
      <w:suppressAutoHyphens w:val="0"/>
      <w:spacing w:before="240" w:after="80" w:line="276" w:lineRule="auto"/>
      <w:outlineLvl w:val="5"/>
    </w:pPr>
    <w:rPr>
      <w:rFonts w:ascii="Arial" w:eastAsia="Arial" w:hAnsi="Arial" w:cs="Arial"/>
      <w:i/>
      <w:color w:val="666666"/>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4780"/>
    <w:rPr>
      <w:color w:val="0000FF"/>
      <w:u w:val="single"/>
    </w:rPr>
  </w:style>
  <w:style w:type="character" w:styleId="Strong">
    <w:name w:val="Strong"/>
    <w:basedOn w:val="DefaultParagraphFont"/>
    <w:qFormat/>
    <w:rsid w:val="009D4780"/>
    <w:rPr>
      <w:b/>
      <w:bCs/>
    </w:rPr>
  </w:style>
  <w:style w:type="character" w:customStyle="1" w:styleId="redtxt12">
    <w:name w:val="redtxt12"/>
    <w:basedOn w:val="DefaultParagraphFont"/>
    <w:rsid w:val="009D4780"/>
  </w:style>
  <w:style w:type="character" w:customStyle="1" w:styleId="style91">
    <w:name w:val="style91"/>
    <w:basedOn w:val="DefaultParagraphFont"/>
    <w:rsid w:val="009D4780"/>
    <w:rPr>
      <w:rFonts w:ascii="Verdana" w:hAnsi="Verdana" w:cs="Verdana"/>
      <w:color w:val="666666"/>
      <w:sz w:val="17"/>
      <w:szCs w:val="17"/>
    </w:rPr>
  </w:style>
  <w:style w:type="character" w:customStyle="1" w:styleId="FooterChar">
    <w:name w:val="Footer Char"/>
    <w:basedOn w:val="DefaultParagraphFont"/>
    <w:rsid w:val="009D4780"/>
    <w:rPr>
      <w:sz w:val="24"/>
      <w:szCs w:val="24"/>
    </w:rPr>
  </w:style>
  <w:style w:type="character" w:customStyle="1" w:styleId="Heading1Char">
    <w:name w:val="Heading 1 Char"/>
    <w:basedOn w:val="DefaultParagraphFont"/>
    <w:rsid w:val="009D4780"/>
    <w:rPr>
      <w:rFonts w:ascii="Verdana" w:hAnsi="Verdana" w:cs="Verdana"/>
      <w:b/>
      <w:sz w:val="28"/>
      <w:szCs w:val="24"/>
      <w:u w:val="single"/>
      <w:lang w:val="en-GB"/>
    </w:rPr>
  </w:style>
  <w:style w:type="character" w:customStyle="1" w:styleId="Heading2Char">
    <w:name w:val="Heading 2 Char"/>
    <w:basedOn w:val="DefaultParagraphFont"/>
    <w:rsid w:val="009D4780"/>
    <w:rPr>
      <w:rFonts w:ascii="Verdana" w:hAnsi="Verdana" w:cs="Verdana"/>
      <w:b/>
      <w:bCs/>
      <w:sz w:val="24"/>
      <w:szCs w:val="24"/>
      <w:lang w:val="en-GB"/>
    </w:rPr>
  </w:style>
  <w:style w:type="character" w:customStyle="1" w:styleId="BodyText2Char">
    <w:name w:val="Body Text 2 Char"/>
    <w:basedOn w:val="DefaultParagraphFont"/>
    <w:rsid w:val="009D4780"/>
    <w:rPr>
      <w:sz w:val="24"/>
      <w:szCs w:val="24"/>
    </w:rPr>
  </w:style>
  <w:style w:type="paragraph" w:customStyle="1" w:styleId="Heading">
    <w:name w:val="Heading"/>
    <w:basedOn w:val="Normal"/>
    <w:next w:val="BodyText"/>
    <w:rsid w:val="009D4780"/>
    <w:pPr>
      <w:keepNext/>
      <w:spacing w:before="240" w:after="120"/>
    </w:pPr>
    <w:rPr>
      <w:rFonts w:ascii="Arial" w:eastAsia="Arial Unicode MS" w:hAnsi="Arial" w:cs="Mangal"/>
      <w:sz w:val="28"/>
      <w:szCs w:val="28"/>
    </w:rPr>
  </w:style>
  <w:style w:type="paragraph" w:styleId="BodyText">
    <w:name w:val="Body Text"/>
    <w:basedOn w:val="Normal"/>
    <w:rsid w:val="009D4780"/>
    <w:pPr>
      <w:jc w:val="both"/>
    </w:pPr>
    <w:rPr>
      <w:rFonts w:ascii="Arial" w:hAnsi="Arial" w:cs="Arial"/>
      <w:sz w:val="20"/>
      <w:szCs w:val="20"/>
    </w:rPr>
  </w:style>
  <w:style w:type="paragraph" w:styleId="List">
    <w:name w:val="List"/>
    <w:basedOn w:val="BodyText"/>
    <w:rsid w:val="009D4780"/>
    <w:rPr>
      <w:rFonts w:cs="Mangal"/>
    </w:rPr>
  </w:style>
  <w:style w:type="paragraph" w:styleId="Caption">
    <w:name w:val="caption"/>
    <w:basedOn w:val="Normal"/>
    <w:qFormat/>
    <w:rsid w:val="009D4780"/>
    <w:pPr>
      <w:suppressLineNumbers/>
      <w:spacing w:before="120" w:after="120"/>
    </w:pPr>
    <w:rPr>
      <w:rFonts w:cs="Mangal"/>
      <w:i/>
      <w:iCs/>
    </w:rPr>
  </w:style>
  <w:style w:type="paragraph" w:customStyle="1" w:styleId="Index">
    <w:name w:val="Index"/>
    <w:basedOn w:val="Normal"/>
    <w:rsid w:val="009D4780"/>
    <w:pPr>
      <w:suppressLineNumbers/>
    </w:pPr>
    <w:rPr>
      <w:rFonts w:cs="Mangal"/>
    </w:rPr>
  </w:style>
  <w:style w:type="paragraph" w:styleId="Header">
    <w:name w:val="header"/>
    <w:basedOn w:val="Normal"/>
    <w:rsid w:val="009D4780"/>
    <w:pPr>
      <w:tabs>
        <w:tab w:val="center" w:pos="4320"/>
        <w:tab w:val="right" w:pos="8640"/>
      </w:tabs>
    </w:pPr>
  </w:style>
  <w:style w:type="paragraph" w:styleId="Footer">
    <w:name w:val="footer"/>
    <w:basedOn w:val="Normal"/>
    <w:rsid w:val="009D4780"/>
    <w:pPr>
      <w:tabs>
        <w:tab w:val="center" w:pos="4320"/>
        <w:tab w:val="right" w:pos="8640"/>
      </w:tabs>
    </w:pPr>
  </w:style>
  <w:style w:type="paragraph" w:customStyle="1" w:styleId="Char">
    <w:name w:val="Char"/>
    <w:basedOn w:val="Normal"/>
    <w:rsid w:val="009D4780"/>
    <w:pPr>
      <w:spacing w:before="60" w:after="160" w:line="240" w:lineRule="exact"/>
    </w:pPr>
    <w:rPr>
      <w:rFonts w:ascii="Arial" w:hAnsi="Arial" w:cs="Arial"/>
      <w:color w:val="000000"/>
      <w:sz w:val="18"/>
      <w:szCs w:val="18"/>
      <w:lang w:val="en-GB"/>
    </w:rPr>
  </w:style>
  <w:style w:type="paragraph" w:customStyle="1" w:styleId="Char0">
    <w:name w:val="Char"/>
    <w:basedOn w:val="Normal"/>
    <w:rsid w:val="009D4780"/>
    <w:pPr>
      <w:spacing w:before="60" w:after="160" w:line="240" w:lineRule="exact"/>
    </w:pPr>
    <w:rPr>
      <w:rFonts w:ascii="Arial" w:hAnsi="Arial" w:cs="Arial"/>
      <w:color w:val="000000"/>
      <w:sz w:val="18"/>
      <w:szCs w:val="18"/>
      <w:lang w:val="en-GB"/>
    </w:rPr>
  </w:style>
  <w:style w:type="paragraph" w:customStyle="1" w:styleId="msolistparagraph0">
    <w:name w:val="msolistparagraph"/>
    <w:basedOn w:val="Normal"/>
    <w:rsid w:val="009D4780"/>
    <w:pPr>
      <w:spacing w:before="280" w:after="280"/>
    </w:pPr>
  </w:style>
  <w:style w:type="paragraph" w:customStyle="1" w:styleId="msolistparagraphcxspmiddle">
    <w:name w:val="msolistparagraphcxspmiddle"/>
    <w:basedOn w:val="Normal"/>
    <w:rsid w:val="009D4780"/>
    <w:pPr>
      <w:spacing w:before="280" w:after="280"/>
    </w:pPr>
  </w:style>
  <w:style w:type="paragraph" w:customStyle="1" w:styleId="msolistparagraphcxsplast">
    <w:name w:val="msolistparagraphcxsplast"/>
    <w:basedOn w:val="Normal"/>
    <w:rsid w:val="009D4780"/>
    <w:pPr>
      <w:spacing w:before="280" w:after="280"/>
    </w:pPr>
  </w:style>
  <w:style w:type="paragraph" w:styleId="ListParagraph">
    <w:name w:val="List Paragraph"/>
    <w:basedOn w:val="Normal"/>
    <w:uiPriority w:val="34"/>
    <w:qFormat/>
    <w:rsid w:val="009D4780"/>
    <w:pPr>
      <w:ind w:left="720"/>
    </w:pPr>
    <w:rPr>
      <w:rFonts w:ascii="Book Antiqua" w:hAnsi="Book Antiqua" w:cs="Book Antiqua"/>
      <w:spacing w:val="-3"/>
    </w:rPr>
  </w:style>
  <w:style w:type="paragraph" w:customStyle="1" w:styleId="TableContents">
    <w:name w:val="Table Contents"/>
    <w:basedOn w:val="Normal"/>
    <w:rsid w:val="009D4780"/>
    <w:pPr>
      <w:widowControl w:val="0"/>
      <w:suppressLineNumbers/>
    </w:pPr>
    <w:rPr>
      <w:rFonts w:eastAsia="Lucida Sans Unicode"/>
      <w:lang w:val="en-GB"/>
    </w:rPr>
  </w:style>
  <w:style w:type="paragraph" w:styleId="BodyTextIndent">
    <w:name w:val="Body Text Indent"/>
    <w:basedOn w:val="Normal"/>
    <w:rsid w:val="009D4780"/>
    <w:pPr>
      <w:spacing w:after="120"/>
      <w:ind w:left="360"/>
    </w:pPr>
  </w:style>
  <w:style w:type="paragraph" w:styleId="PlainText">
    <w:name w:val="Plain Text"/>
    <w:basedOn w:val="Normal"/>
    <w:rsid w:val="009D4780"/>
    <w:rPr>
      <w:rFonts w:ascii="Courier New" w:hAnsi="Courier New" w:cs="Courier New"/>
      <w:sz w:val="20"/>
      <w:szCs w:val="20"/>
    </w:rPr>
  </w:style>
  <w:style w:type="paragraph" w:styleId="NormalWeb">
    <w:name w:val="Normal (Web)"/>
    <w:basedOn w:val="Normal"/>
    <w:rsid w:val="009D4780"/>
    <w:pPr>
      <w:spacing w:before="100" w:after="100"/>
    </w:pPr>
    <w:rPr>
      <w:szCs w:val="20"/>
    </w:rPr>
  </w:style>
  <w:style w:type="paragraph" w:styleId="BodyText2">
    <w:name w:val="Body Text 2"/>
    <w:basedOn w:val="Normal"/>
    <w:rsid w:val="009D4780"/>
    <w:pPr>
      <w:spacing w:after="120" w:line="480" w:lineRule="auto"/>
    </w:pPr>
  </w:style>
  <w:style w:type="paragraph" w:customStyle="1" w:styleId="WW-BodyText2">
    <w:name w:val="WW-Body Text 2"/>
    <w:basedOn w:val="Normal"/>
    <w:rsid w:val="009D4780"/>
    <w:pPr>
      <w:widowControl w:val="0"/>
      <w:spacing w:line="360" w:lineRule="atLeast"/>
      <w:jc w:val="both"/>
      <w:textAlignment w:val="baseline"/>
    </w:pPr>
    <w:rPr>
      <w:sz w:val="22"/>
      <w:szCs w:val="20"/>
    </w:rPr>
  </w:style>
  <w:style w:type="paragraph" w:customStyle="1" w:styleId="WW-Default">
    <w:name w:val="WW-Default"/>
    <w:rsid w:val="009D4780"/>
    <w:pPr>
      <w:suppressAutoHyphens/>
      <w:autoSpaceDE w:val="0"/>
    </w:pPr>
    <w:rPr>
      <w:rFonts w:ascii="Arial" w:hAnsi="Arial" w:cs="Arial"/>
      <w:color w:val="000000"/>
      <w:sz w:val="24"/>
      <w:szCs w:val="24"/>
      <w:lang w:eastAsia="ar-SA"/>
    </w:rPr>
  </w:style>
  <w:style w:type="paragraph" w:customStyle="1" w:styleId="TableHeading">
    <w:name w:val="Table Heading"/>
    <w:basedOn w:val="TableContents"/>
    <w:rsid w:val="009D4780"/>
    <w:pPr>
      <w:jc w:val="center"/>
    </w:pPr>
    <w:rPr>
      <w:b/>
      <w:bCs/>
    </w:rPr>
  </w:style>
  <w:style w:type="paragraph" w:styleId="BalloonText">
    <w:name w:val="Balloon Text"/>
    <w:basedOn w:val="Normal"/>
    <w:link w:val="BalloonTextChar"/>
    <w:uiPriority w:val="99"/>
    <w:semiHidden/>
    <w:unhideWhenUsed/>
    <w:rsid w:val="00B35559"/>
    <w:rPr>
      <w:rFonts w:ascii="Tahoma" w:hAnsi="Tahoma" w:cs="Tahoma"/>
      <w:sz w:val="16"/>
      <w:szCs w:val="16"/>
    </w:rPr>
  </w:style>
  <w:style w:type="character" w:customStyle="1" w:styleId="BalloonTextChar">
    <w:name w:val="Balloon Text Char"/>
    <w:basedOn w:val="DefaultParagraphFont"/>
    <w:link w:val="BalloonText"/>
    <w:uiPriority w:val="99"/>
    <w:semiHidden/>
    <w:rsid w:val="00B35559"/>
    <w:rPr>
      <w:rFonts w:ascii="Tahoma" w:hAnsi="Tahoma" w:cs="Tahoma"/>
      <w:sz w:val="16"/>
      <w:szCs w:val="16"/>
      <w:lang w:eastAsia="ar-SA"/>
    </w:rPr>
  </w:style>
  <w:style w:type="paragraph" w:customStyle="1" w:styleId="Standard">
    <w:name w:val="Standard"/>
    <w:rsid w:val="00656C99"/>
    <w:pPr>
      <w:suppressAutoHyphens/>
      <w:autoSpaceDN w:val="0"/>
      <w:textAlignment w:val="baseline"/>
    </w:pPr>
    <w:rPr>
      <w:rFonts w:eastAsia="Lucida Sans Unicode" w:cs="Mangal"/>
      <w:kern w:val="3"/>
      <w:sz w:val="24"/>
      <w:szCs w:val="24"/>
      <w:lang w:eastAsia="zh-CN" w:bidi="hi-IN"/>
    </w:rPr>
  </w:style>
  <w:style w:type="character" w:customStyle="1" w:styleId="Heading3Char">
    <w:name w:val="Heading 3 Char"/>
    <w:basedOn w:val="DefaultParagraphFont"/>
    <w:link w:val="Heading3"/>
    <w:uiPriority w:val="9"/>
    <w:semiHidden/>
    <w:rsid w:val="00EB377E"/>
    <w:rPr>
      <w:rFonts w:ascii="Arial" w:eastAsia="Arial" w:hAnsi="Arial" w:cs="Arial"/>
      <w:color w:val="434343"/>
      <w:sz w:val="28"/>
      <w:szCs w:val="28"/>
      <w:lang w:val="en" w:eastAsia="en-GB"/>
    </w:rPr>
  </w:style>
  <w:style w:type="character" w:customStyle="1" w:styleId="Heading4Char">
    <w:name w:val="Heading 4 Char"/>
    <w:basedOn w:val="DefaultParagraphFont"/>
    <w:link w:val="Heading4"/>
    <w:uiPriority w:val="9"/>
    <w:semiHidden/>
    <w:rsid w:val="00EB377E"/>
    <w:rPr>
      <w:rFonts w:ascii="Arial" w:eastAsia="Arial" w:hAnsi="Arial" w:cs="Arial"/>
      <w:color w:val="666666"/>
      <w:sz w:val="24"/>
      <w:szCs w:val="24"/>
      <w:lang w:val="en" w:eastAsia="en-GB"/>
    </w:rPr>
  </w:style>
  <w:style w:type="character" w:customStyle="1" w:styleId="Heading5Char">
    <w:name w:val="Heading 5 Char"/>
    <w:basedOn w:val="DefaultParagraphFont"/>
    <w:link w:val="Heading5"/>
    <w:uiPriority w:val="9"/>
    <w:semiHidden/>
    <w:rsid w:val="00EB377E"/>
    <w:rPr>
      <w:rFonts w:ascii="Arial" w:eastAsia="Arial" w:hAnsi="Arial" w:cs="Arial"/>
      <w:color w:val="666666"/>
      <w:sz w:val="22"/>
      <w:szCs w:val="22"/>
      <w:lang w:val="en" w:eastAsia="en-GB"/>
    </w:rPr>
  </w:style>
  <w:style w:type="character" w:customStyle="1" w:styleId="Heading6Char">
    <w:name w:val="Heading 6 Char"/>
    <w:basedOn w:val="DefaultParagraphFont"/>
    <w:link w:val="Heading6"/>
    <w:uiPriority w:val="9"/>
    <w:semiHidden/>
    <w:rsid w:val="00EB377E"/>
    <w:rPr>
      <w:rFonts w:ascii="Arial" w:eastAsia="Arial" w:hAnsi="Arial" w:cs="Arial"/>
      <w:i/>
      <w:color w:val="666666"/>
      <w:sz w:val="22"/>
      <w:szCs w:val="22"/>
      <w:lang w:val="en" w:eastAsia="en-GB"/>
    </w:rPr>
  </w:style>
  <w:style w:type="paragraph" w:styleId="Title">
    <w:name w:val="Title"/>
    <w:basedOn w:val="Normal"/>
    <w:next w:val="Normal"/>
    <w:link w:val="TitleChar"/>
    <w:uiPriority w:val="10"/>
    <w:qFormat/>
    <w:rsid w:val="00EB377E"/>
    <w:pPr>
      <w:keepNext/>
      <w:keepLines/>
      <w:suppressAutoHyphens w:val="0"/>
      <w:spacing w:after="60" w:line="276" w:lineRule="auto"/>
    </w:pPr>
    <w:rPr>
      <w:rFonts w:ascii="Arial" w:eastAsia="Arial" w:hAnsi="Arial" w:cs="Arial"/>
      <w:sz w:val="52"/>
      <w:szCs w:val="52"/>
      <w:lang w:val="en" w:eastAsia="en-GB"/>
    </w:rPr>
  </w:style>
  <w:style w:type="character" w:customStyle="1" w:styleId="TitleChar">
    <w:name w:val="Title Char"/>
    <w:basedOn w:val="DefaultParagraphFont"/>
    <w:link w:val="Title"/>
    <w:uiPriority w:val="10"/>
    <w:rsid w:val="00EB377E"/>
    <w:rPr>
      <w:rFonts w:ascii="Arial" w:eastAsia="Arial" w:hAnsi="Arial" w:cs="Arial"/>
      <w:sz w:val="52"/>
      <w:szCs w:val="52"/>
      <w:lang w:val="en" w:eastAsia="en-GB"/>
    </w:rPr>
  </w:style>
  <w:style w:type="paragraph" w:styleId="Subtitle">
    <w:name w:val="Subtitle"/>
    <w:basedOn w:val="Normal"/>
    <w:next w:val="Normal"/>
    <w:link w:val="SubtitleChar"/>
    <w:rsid w:val="00EB377E"/>
    <w:pPr>
      <w:keepNext/>
      <w:keepLines/>
      <w:suppressAutoHyphens w:val="0"/>
      <w:spacing w:after="320" w:line="276" w:lineRule="auto"/>
    </w:pPr>
    <w:rPr>
      <w:rFonts w:ascii="Arial" w:eastAsia="Arial" w:hAnsi="Arial" w:cs="Arial"/>
      <w:color w:val="666666"/>
      <w:sz w:val="30"/>
      <w:szCs w:val="30"/>
      <w:lang w:val="en" w:eastAsia="en-GB"/>
    </w:rPr>
  </w:style>
  <w:style w:type="character" w:customStyle="1" w:styleId="SubtitleChar">
    <w:name w:val="Subtitle Char"/>
    <w:basedOn w:val="DefaultParagraphFont"/>
    <w:link w:val="Subtitle"/>
    <w:rsid w:val="00EB377E"/>
    <w:rPr>
      <w:rFonts w:ascii="Arial" w:eastAsia="Arial" w:hAnsi="Arial" w:cs="Arial"/>
      <w:color w:val="666666"/>
      <w:sz w:val="30"/>
      <w:szCs w:val="30"/>
      <w:lang w:val="en" w:eastAsia="en-GB"/>
    </w:rPr>
  </w:style>
  <w:style w:type="paragraph" w:styleId="Revision">
    <w:name w:val="Revision"/>
    <w:hidden/>
    <w:uiPriority w:val="99"/>
    <w:semiHidden/>
    <w:rsid w:val="00EB377E"/>
    <w:rPr>
      <w:rFonts w:ascii="Arial" w:eastAsia="Arial" w:hAnsi="Arial" w:cs="Arial"/>
      <w:sz w:val="22"/>
      <w:szCs w:val="22"/>
      <w:lang w:val="en" w:eastAsia="en-GB"/>
    </w:rPr>
  </w:style>
  <w:style w:type="table" w:styleId="TableGrid">
    <w:name w:val="Table Grid"/>
    <w:basedOn w:val="TableNormal"/>
    <w:uiPriority w:val="39"/>
    <w:rsid w:val="00806CE9"/>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1958">
      <w:bodyDiv w:val="1"/>
      <w:marLeft w:val="0"/>
      <w:marRight w:val="0"/>
      <w:marTop w:val="0"/>
      <w:marBottom w:val="0"/>
      <w:divBdr>
        <w:top w:val="none" w:sz="0" w:space="0" w:color="auto"/>
        <w:left w:val="none" w:sz="0" w:space="0" w:color="auto"/>
        <w:bottom w:val="none" w:sz="0" w:space="0" w:color="auto"/>
        <w:right w:val="none" w:sz="0" w:space="0" w:color="auto"/>
      </w:divBdr>
    </w:div>
    <w:div w:id="329798247">
      <w:bodyDiv w:val="1"/>
      <w:marLeft w:val="0"/>
      <w:marRight w:val="0"/>
      <w:marTop w:val="0"/>
      <w:marBottom w:val="0"/>
      <w:divBdr>
        <w:top w:val="none" w:sz="0" w:space="0" w:color="auto"/>
        <w:left w:val="none" w:sz="0" w:space="0" w:color="auto"/>
        <w:bottom w:val="none" w:sz="0" w:space="0" w:color="auto"/>
        <w:right w:val="none" w:sz="0" w:space="0" w:color="auto"/>
      </w:divBdr>
    </w:div>
    <w:div w:id="1189872643">
      <w:bodyDiv w:val="1"/>
      <w:marLeft w:val="0"/>
      <w:marRight w:val="0"/>
      <w:marTop w:val="0"/>
      <w:marBottom w:val="0"/>
      <w:divBdr>
        <w:top w:val="none" w:sz="0" w:space="0" w:color="auto"/>
        <w:left w:val="none" w:sz="0" w:space="0" w:color="auto"/>
        <w:bottom w:val="none" w:sz="0" w:space="0" w:color="auto"/>
        <w:right w:val="none" w:sz="0" w:space="0" w:color="auto"/>
      </w:divBdr>
    </w:div>
    <w:div w:id="1624143667">
      <w:bodyDiv w:val="1"/>
      <w:marLeft w:val="0"/>
      <w:marRight w:val="0"/>
      <w:marTop w:val="0"/>
      <w:marBottom w:val="0"/>
      <w:divBdr>
        <w:top w:val="none" w:sz="0" w:space="0" w:color="auto"/>
        <w:left w:val="none" w:sz="0" w:space="0" w:color="auto"/>
        <w:bottom w:val="none" w:sz="0" w:space="0" w:color="auto"/>
        <w:right w:val="none" w:sz="0" w:space="0" w:color="auto"/>
      </w:divBdr>
    </w:div>
    <w:div w:id="19956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rp@transcorpint.com" TargetMode="External"/><Relationship Id="rId2" Type="http://schemas.openxmlformats.org/officeDocument/2006/relationships/hyperlink" Target="http://www.transcorpin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862295-A9BC-4B74-90C8-58825FFA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Links>
    <vt:vector size="12" baseType="variant">
      <vt:variant>
        <vt:i4>2949123</vt:i4>
      </vt:variant>
      <vt:variant>
        <vt:i4>3</vt:i4>
      </vt:variant>
      <vt:variant>
        <vt:i4>0</vt:i4>
      </vt:variant>
      <vt:variant>
        <vt:i4>5</vt:i4>
      </vt:variant>
      <vt:variant>
        <vt:lpwstr>mailto:corp@transcorpint.com</vt:lpwstr>
      </vt:variant>
      <vt:variant>
        <vt:lpwstr/>
      </vt:variant>
      <vt:variant>
        <vt:i4>5374030</vt:i4>
      </vt:variant>
      <vt:variant>
        <vt:i4>0</vt:i4>
      </vt:variant>
      <vt:variant>
        <vt:i4>0</vt:i4>
      </vt:variant>
      <vt:variant>
        <vt:i4>5</vt:i4>
      </vt:variant>
      <vt:variant>
        <vt:lpwstr>http://www.transcorpint.com/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transcorp3</dc:creator>
  <cp:keywords/>
  <cp:lastModifiedBy>Transcorp International limited</cp:lastModifiedBy>
  <cp:revision>10</cp:revision>
  <cp:lastPrinted>2022-08-31T10:02:00Z</cp:lastPrinted>
  <dcterms:created xsi:type="dcterms:W3CDTF">2022-08-31T06:30:00Z</dcterms:created>
  <dcterms:modified xsi:type="dcterms:W3CDTF">2022-08-31T10:10:00Z</dcterms:modified>
</cp:coreProperties>
</file>